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5000" w:type="pct"/>
        <w:tblBorders>
          <w:top w:val="single" w:sz="4" w:space="0" w:color="A2B93B" w:themeColor="accent6"/>
          <w:left w:val="single" w:sz="4" w:space="0" w:color="A2B93B" w:themeColor="accent6"/>
          <w:bottom w:val="single" w:sz="4" w:space="0" w:color="A2B93B" w:themeColor="accent6"/>
          <w:right w:val="single" w:sz="4" w:space="0" w:color="A2B93B" w:themeColor="accent6"/>
          <w:insideH w:val="single" w:sz="4" w:space="0" w:color="A2B93B" w:themeColor="accent6"/>
          <w:insideV w:val="single" w:sz="4" w:space="0" w:color="A2B93B" w:themeColor="accent6"/>
        </w:tblBorders>
        <w:tblCellMar>
          <w:top w:w="142" w:type="dxa"/>
          <w:left w:w="142" w:type="dxa"/>
          <w:bottom w:w="142" w:type="dxa"/>
          <w:right w:w="142" w:type="dxa"/>
        </w:tblCellMar>
        <w:tblLook w:val="0480" w:firstRow="0" w:lastRow="0" w:firstColumn="1" w:lastColumn="0" w:noHBand="0" w:noVBand="1"/>
      </w:tblPr>
      <w:tblGrid>
        <w:gridCol w:w="3397"/>
        <w:gridCol w:w="6797"/>
      </w:tblGrid>
      <w:tr w:rsidR="00252B28" w14:paraId="13C9515A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716F9E96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Titre</w:t>
            </w:r>
          </w:p>
        </w:tc>
        <w:tc>
          <w:tcPr>
            <w:tcW w:w="3334" w:type="pct"/>
            <w:vAlign w:val="center"/>
          </w:tcPr>
          <w:p w14:paraId="6A94DD8E" w14:textId="7D28B261" w:rsidR="6A94DD8E" w:rsidRPr="00E75513" w:rsidRDefault="00490C3D" w:rsidP="00E75513">
            <w:pPr>
              <w:jc w:val="left"/>
              <w:rPr>
                <w:b/>
                <w:bCs/>
                <w:sz w:val="24"/>
                <w:szCs w:val="24"/>
              </w:rPr>
            </w:pPr>
            <w:r>
              <w:rPr>
                <w:b/>
                <w:sz w:val="24"/>
              </w:rPr>
              <w:t>Convention Recouvrement des aliments et Protocole Obligations alimentaires de 2007 : Questionnaire élaboré dans le cadre de la préparation de la réunion du Groupe d</w:t>
            </w:r>
            <w:r w:rsidR="00780344">
              <w:rPr>
                <w:b/>
                <w:sz w:val="24"/>
              </w:rPr>
              <w:t>’</w:t>
            </w:r>
            <w:r>
              <w:rPr>
                <w:b/>
                <w:sz w:val="24"/>
              </w:rPr>
              <w:t>experts du 29 au 31 janvier 2024 sur les transferts internationaux d</w:t>
            </w:r>
            <w:r w:rsidR="00780344">
              <w:rPr>
                <w:b/>
                <w:sz w:val="24"/>
              </w:rPr>
              <w:t>’</w:t>
            </w:r>
            <w:r>
              <w:rPr>
                <w:b/>
                <w:sz w:val="24"/>
              </w:rPr>
              <w:t>aliments</w:t>
            </w:r>
          </w:p>
        </w:tc>
      </w:tr>
      <w:tr w:rsidR="006E1A35" w:rsidRPr="00E65B6A" w14:paraId="5B988D33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435D718F" w14:textId="77777777" w:rsidR="006E1A35" w:rsidRPr="00D73A1D" w:rsidRDefault="006E1A35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Document</w:t>
            </w:r>
          </w:p>
        </w:tc>
        <w:tc>
          <w:tcPr>
            <w:tcW w:w="3334" w:type="pct"/>
            <w:vAlign w:val="center"/>
          </w:tcPr>
          <w:p w14:paraId="6ABC79C6" w14:textId="2E636F9E" w:rsidR="006E1A35" w:rsidRPr="006047A0" w:rsidRDefault="003525AB" w:rsidP="0023033E">
            <w:pPr>
              <w:jc w:val="left"/>
              <w:rPr>
                <w:sz w:val="24"/>
                <w:szCs w:val="24"/>
                <w:lang w:val="es-ES"/>
              </w:rPr>
            </w:pPr>
            <w:r w:rsidRPr="006047A0">
              <w:rPr>
                <w:b/>
                <w:bCs/>
                <w:sz w:val="24"/>
                <w:szCs w:val="24"/>
                <w:lang w:val="es-ES"/>
              </w:rPr>
              <w:t>Doc. prél. No 1</w:t>
            </w:r>
            <w:r w:rsidR="002A1050" w:rsidRPr="006047A0">
              <w:rPr>
                <w:b/>
                <w:bCs/>
                <w:sz w:val="24"/>
                <w:szCs w:val="24"/>
                <w:lang w:val="es-ES"/>
              </w:rPr>
              <w:t xml:space="preserve">1A </w:t>
            </w:r>
            <w:r w:rsidRPr="006047A0">
              <w:rPr>
                <w:b/>
                <w:bCs/>
                <w:sz w:val="24"/>
                <w:szCs w:val="24"/>
                <w:lang w:val="es-ES"/>
              </w:rPr>
              <w:t>de novembre 2023</w:t>
            </w:r>
          </w:p>
        </w:tc>
      </w:tr>
      <w:tr w:rsidR="00252B28" w14:paraId="7FEAB2C6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2D4294B5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Auteur</w:t>
            </w:r>
          </w:p>
        </w:tc>
        <w:tc>
          <w:tcPr>
            <w:tcW w:w="3334" w:type="pct"/>
            <w:vAlign w:val="center"/>
          </w:tcPr>
          <w:p w14:paraId="6E4FA144" w14:textId="2AE60113" w:rsidR="00252B28" w:rsidRPr="00CE6D57" w:rsidRDefault="003525AB" w:rsidP="0023033E">
            <w:pPr>
              <w:jc w:val="left"/>
              <w:rPr>
                <w:color w:val="808080" w:themeColor="background1" w:themeShade="80"/>
              </w:rPr>
            </w:pPr>
            <w:r>
              <w:t>BP</w:t>
            </w:r>
          </w:p>
        </w:tc>
      </w:tr>
      <w:tr w:rsidR="00252B28" w14:paraId="3A3B1E2F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69D9468B" w14:textId="26850263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Point de l</w:t>
            </w:r>
            <w:r w:rsidR="00780344">
              <w:rPr>
                <w:rFonts w:asciiTheme="majorHAnsi" w:hAnsiTheme="majorHAnsi"/>
                <w:color w:val="024987" w:themeColor="accent3"/>
              </w:rPr>
              <w:t>’</w:t>
            </w:r>
            <w:r>
              <w:rPr>
                <w:rFonts w:asciiTheme="majorHAnsi" w:hAnsiTheme="majorHAnsi"/>
                <w:color w:val="024987" w:themeColor="accent3"/>
              </w:rPr>
              <w:t>ordre du jour</w:t>
            </w:r>
          </w:p>
        </w:tc>
        <w:tc>
          <w:tcPr>
            <w:tcW w:w="3334" w:type="pct"/>
            <w:vAlign w:val="center"/>
          </w:tcPr>
          <w:p w14:paraId="4F7442FF" w14:textId="423F98D4" w:rsidR="00252B28" w:rsidRDefault="00B0319F" w:rsidP="0023033E">
            <w:pPr>
              <w:jc w:val="left"/>
            </w:pPr>
            <w:r>
              <w:t>Point</w:t>
            </w:r>
            <w:r>
              <w:t xml:space="preserve"> III.</w:t>
            </w:r>
            <w:proofErr w:type="gramStart"/>
            <w:r>
              <w:t>1.f</w:t>
            </w:r>
            <w:proofErr w:type="gramEnd"/>
          </w:p>
        </w:tc>
      </w:tr>
      <w:tr w:rsidR="00252B28" w14:paraId="5778254F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0901B9FC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Mandat(s)</w:t>
            </w:r>
          </w:p>
        </w:tc>
        <w:tc>
          <w:tcPr>
            <w:tcW w:w="3334" w:type="pct"/>
            <w:vAlign w:val="center"/>
          </w:tcPr>
          <w:p w14:paraId="2248A1E9" w14:textId="24901FBE" w:rsidR="00252B28" w:rsidRPr="00534BB2" w:rsidRDefault="00490C3D">
            <w:pPr>
              <w:rPr>
                <w:i/>
                <w:iCs/>
                <w:color w:val="808080"/>
              </w:rPr>
            </w:pPr>
            <w:r>
              <w:t>C&amp;D No 37 du CAGP de 2023</w:t>
            </w:r>
          </w:p>
        </w:tc>
      </w:tr>
      <w:tr w:rsidR="00252B28" w14:paraId="6FCD96C7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373C3459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Objectif</w:t>
            </w:r>
          </w:p>
        </w:tc>
        <w:tc>
          <w:tcPr>
            <w:tcW w:w="3334" w:type="pct"/>
            <w:vAlign w:val="center"/>
          </w:tcPr>
          <w:p w14:paraId="1BB0FC59" w14:textId="2D804BC0" w:rsidR="00252B28" w:rsidRDefault="00490C3D" w:rsidP="0023033E">
            <w:pPr>
              <w:jc w:val="left"/>
            </w:pPr>
            <w:r>
              <w:t>Préparer la réunion du Groupe d</w:t>
            </w:r>
            <w:r w:rsidR="00780344">
              <w:t>’</w:t>
            </w:r>
            <w:r>
              <w:t>experts de janvier 2024 en recueillant des informations sur les dispositions actuelles concernant le</w:t>
            </w:r>
            <w:r w:rsidR="00BC5845">
              <w:t>s</w:t>
            </w:r>
            <w:r>
              <w:t xml:space="preserve"> transferts internationa</w:t>
            </w:r>
            <w:r w:rsidR="00BC5845">
              <w:t>ux</w:t>
            </w:r>
            <w:r w:rsidR="00F065E5">
              <w:t xml:space="preserve"> </w:t>
            </w:r>
            <w:r>
              <w:t>d</w:t>
            </w:r>
            <w:r w:rsidR="00780344">
              <w:t>’</w:t>
            </w:r>
            <w:r>
              <w:t xml:space="preserve">aliments. Les réponses au </w:t>
            </w:r>
            <w:r w:rsidR="001453C7">
              <w:t>q</w:t>
            </w:r>
            <w:r>
              <w:t>uestionnaire doivent être envoyées au BP par courrier électronique à l</w:t>
            </w:r>
            <w:r w:rsidR="00780344">
              <w:t>’</w:t>
            </w:r>
            <w:r>
              <w:t xml:space="preserve">adresse </w:t>
            </w:r>
            <w:hyperlink r:id="rId11" w:history="1">
              <w:r>
                <w:rPr>
                  <w:rStyle w:val="Hyperlink"/>
                </w:rPr>
                <w:t>secretariat@hcch.net</w:t>
              </w:r>
            </w:hyperlink>
            <w:r>
              <w:t xml:space="preserve"> </w:t>
            </w:r>
            <w:r>
              <w:rPr>
                <w:b/>
              </w:rPr>
              <w:t>au plus tard le 12</w:t>
            </w:r>
            <w:r w:rsidR="00A17ADA">
              <w:rPr>
                <w:b/>
              </w:rPr>
              <w:t> </w:t>
            </w:r>
            <w:r>
              <w:rPr>
                <w:b/>
              </w:rPr>
              <w:t>janvier 2024</w:t>
            </w:r>
          </w:p>
        </w:tc>
      </w:tr>
      <w:tr w:rsidR="00252B28" w14:paraId="7ABAD326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3D1E5631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Mesure à prendre</w:t>
            </w:r>
          </w:p>
        </w:tc>
        <w:tc>
          <w:tcPr>
            <w:tcW w:w="3334" w:type="pct"/>
            <w:vAlign w:val="center"/>
          </w:tcPr>
          <w:p w14:paraId="4A06F8D6" w14:textId="63F8F880" w:rsidR="002932EE" w:rsidRDefault="002932EE" w:rsidP="0023033E">
            <w:pPr>
              <w:jc w:val="left"/>
            </w:pPr>
            <w:r>
              <w:t>Pour décision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MS Gothic" w:hAnsi="MS Gothic"/>
              </w:rPr>
              <w:t>☐</w:t>
            </w:r>
          </w:p>
          <w:p w14:paraId="7802B7C6" w14:textId="71D056F0" w:rsidR="00252B28" w:rsidRDefault="00E72135" w:rsidP="0023033E">
            <w:pPr>
              <w:jc w:val="left"/>
            </w:pPr>
            <w:r>
              <w:t>Pour approbation</w:t>
            </w:r>
            <w:r>
              <w:tab/>
            </w:r>
            <w:r>
              <w:tab/>
            </w:r>
            <w:r>
              <w:tab/>
              <w:t>☐</w:t>
            </w:r>
          </w:p>
          <w:p w14:paraId="68679B71" w14:textId="60A41ADD" w:rsidR="00E72135" w:rsidRDefault="00E72135" w:rsidP="0023033E">
            <w:pPr>
              <w:jc w:val="left"/>
            </w:pPr>
            <w:r>
              <w:t>Pour discussion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MS Gothic" w:hAnsi="MS Gothic"/>
              </w:rPr>
              <w:t>☐</w:t>
            </w:r>
          </w:p>
          <w:p w14:paraId="3E56A237" w14:textId="12A77CDC" w:rsidR="000E4380" w:rsidRDefault="000E4380" w:rsidP="0023033E">
            <w:pPr>
              <w:jc w:val="left"/>
            </w:pPr>
            <w:r>
              <w:t>Pour action / achèvement</w:t>
            </w:r>
            <w:r>
              <w:tab/>
            </w:r>
            <w:r>
              <w:rPr>
                <w:rFonts w:ascii="MS Gothic" w:hAnsi="MS Gothic"/>
              </w:rPr>
              <w:t>☒</w:t>
            </w:r>
          </w:p>
          <w:p w14:paraId="4FDD600E" w14:textId="67A5F01A" w:rsidR="002932EE" w:rsidRDefault="00E72135" w:rsidP="0023033E">
            <w:pPr>
              <w:jc w:val="left"/>
            </w:pPr>
            <w:r>
              <w:t>Pour information</w:t>
            </w:r>
            <w:r>
              <w:tab/>
            </w:r>
            <w:r w:rsidR="008138A4">
              <w:tab/>
            </w:r>
            <w:r>
              <w:tab/>
              <w:t>☐</w:t>
            </w:r>
          </w:p>
        </w:tc>
      </w:tr>
      <w:tr w:rsidR="00252B28" w14:paraId="2FDB52C9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6C433F61" w14:textId="7777777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Annexes</w:t>
            </w:r>
          </w:p>
        </w:tc>
        <w:tc>
          <w:tcPr>
            <w:tcW w:w="3334" w:type="pct"/>
            <w:vAlign w:val="center"/>
          </w:tcPr>
          <w:p w14:paraId="6AE35FB3" w14:textId="16CFB7E7" w:rsidR="00252B28" w:rsidRDefault="0059419B" w:rsidP="0059419B">
            <w:r>
              <w:t>S.O.</w:t>
            </w:r>
          </w:p>
        </w:tc>
      </w:tr>
      <w:tr w:rsidR="00252B28" w14:paraId="4E050351" w14:textId="77777777" w:rsidTr="00667013">
        <w:trPr>
          <w:trHeight w:val="737"/>
        </w:trPr>
        <w:tc>
          <w:tcPr>
            <w:tcW w:w="1666" w:type="pct"/>
            <w:vAlign w:val="center"/>
          </w:tcPr>
          <w:p w14:paraId="0C03AD22" w14:textId="21CB1E97" w:rsidR="00252B28" w:rsidRPr="00D73A1D" w:rsidRDefault="00252B28" w:rsidP="6A94DD8E">
            <w:pPr>
              <w:jc w:val="center"/>
              <w:rPr>
                <w:rFonts w:asciiTheme="majorHAnsi" w:hAnsiTheme="majorHAnsi" w:cstheme="majorBidi"/>
                <w:color w:val="024987" w:themeColor="accent3"/>
              </w:rPr>
            </w:pPr>
            <w:r>
              <w:rPr>
                <w:rFonts w:asciiTheme="majorHAnsi" w:hAnsiTheme="majorHAnsi"/>
                <w:color w:val="024987" w:themeColor="accent3"/>
              </w:rPr>
              <w:t>Document(s) connexe(s)</w:t>
            </w:r>
          </w:p>
        </w:tc>
        <w:tc>
          <w:tcPr>
            <w:tcW w:w="3334" w:type="pct"/>
            <w:vAlign w:val="center"/>
          </w:tcPr>
          <w:p w14:paraId="0415A91A" w14:textId="6B8439DB" w:rsidR="00311FF4" w:rsidRDefault="00311FF4" w:rsidP="0023033E">
            <w:pPr>
              <w:jc w:val="left"/>
            </w:pPr>
            <w:r>
              <w:t xml:space="preserve">- </w:t>
            </w:r>
            <w:hyperlink r:id="rId12" w:history="1">
              <w:r>
                <w:rPr>
                  <w:rStyle w:val="Hyperlink"/>
                </w:rPr>
                <w:t xml:space="preserve">Doc. </w:t>
              </w:r>
              <w:proofErr w:type="gramStart"/>
              <w:r>
                <w:rPr>
                  <w:rStyle w:val="Hyperlink"/>
                </w:rPr>
                <w:t>prél</w:t>
              </w:r>
              <w:proofErr w:type="gramEnd"/>
              <w:r>
                <w:rPr>
                  <w:rStyle w:val="Hyperlink"/>
                </w:rPr>
                <w:t>. No 7E de février 2023</w:t>
              </w:r>
            </w:hyperlink>
            <w:r>
              <w:t xml:space="preserve"> </w:t>
            </w:r>
            <w:r w:rsidR="002A1050">
              <w:t>–</w:t>
            </w:r>
            <w:r>
              <w:t xml:space="preserve"> Rapport </w:t>
            </w:r>
            <w:r w:rsidR="00000BD6">
              <w:t>de la réunion du</w:t>
            </w:r>
            <w:r>
              <w:t xml:space="preserve"> Groupe d</w:t>
            </w:r>
            <w:r w:rsidR="00780344">
              <w:t>’</w:t>
            </w:r>
            <w:r>
              <w:t xml:space="preserve">experts </w:t>
            </w:r>
            <w:r w:rsidR="00000BD6">
              <w:t xml:space="preserve">du 13 au 15 février 2023 </w:t>
            </w:r>
            <w:r>
              <w:t>sur les transferts internationaux d</w:t>
            </w:r>
            <w:r w:rsidR="00780344">
              <w:t>’</w:t>
            </w:r>
            <w:r>
              <w:t>aliments</w:t>
            </w:r>
          </w:p>
        </w:tc>
      </w:tr>
    </w:tbl>
    <w:p w14:paraId="63C2ACB0" w14:textId="10D78BF8" w:rsidR="009519B1" w:rsidRPr="009519B1" w:rsidRDefault="009519B1" w:rsidP="009519B1">
      <w:pPr>
        <w:tabs>
          <w:tab w:val="left" w:pos="8040"/>
        </w:tabs>
        <w:sectPr w:rsidR="009519B1" w:rsidRPr="009519B1" w:rsidSect="00430BD2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2835" w:right="851" w:bottom="851" w:left="851" w:header="709" w:footer="709" w:gutter="0"/>
          <w:cols w:space="708"/>
          <w:docGrid w:linePitch="360"/>
        </w:sectPr>
      </w:pPr>
    </w:p>
    <w:p w14:paraId="75D73B7B" w14:textId="780893E7" w:rsidR="00C364F1" w:rsidRDefault="00C364F1" w:rsidP="00C364F1">
      <w:pPr>
        <w:pStyle w:val="PBParagraph"/>
        <w:numPr>
          <w:ilvl w:val="0"/>
          <w:numId w:val="0"/>
        </w:numPr>
        <w:ind w:left="567"/>
        <w:jc w:val="center"/>
      </w:pPr>
      <w:bookmarkStart w:id="0" w:name="_Toc44606104"/>
      <w:bookmarkStart w:id="1" w:name="_Toc44605845"/>
      <w:bookmarkStart w:id="2" w:name="_Toc57727908"/>
      <w:r>
        <w:rPr>
          <w:rFonts w:asciiTheme="majorHAnsi" w:hAnsiTheme="majorHAnsi"/>
          <w:b/>
          <w:color w:val="03295A" w:themeColor="accent4"/>
          <w:sz w:val="32"/>
        </w:rPr>
        <w:lastRenderedPageBreak/>
        <w:t>Convention Recouvrement des aliments et Protocole Obligations alimentaires de 2007 : Questionnaire élaboré dans le cadre de la préparation de la réunion du Groupe d</w:t>
      </w:r>
      <w:r w:rsidR="00780344">
        <w:rPr>
          <w:rFonts w:asciiTheme="majorHAnsi" w:hAnsiTheme="majorHAnsi"/>
          <w:b/>
          <w:color w:val="03295A" w:themeColor="accent4"/>
          <w:sz w:val="32"/>
        </w:rPr>
        <w:t>’</w:t>
      </w:r>
      <w:r>
        <w:rPr>
          <w:rFonts w:asciiTheme="majorHAnsi" w:hAnsiTheme="majorHAnsi"/>
          <w:b/>
          <w:color w:val="03295A" w:themeColor="accent4"/>
          <w:sz w:val="32"/>
        </w:rPr>
        <w:t>experts du 29 au 31 janvier 2024 sur les transferts internationaux d</w:t>
      </w:r>
      <w:r w:rsidR="00780344">
        <w:rPr>
          <w:rFonts w:asciiTheme="majorHAnsi" w:hAnsiTheme="majorHAnsi"/>
          <w:b/>
          <w:color w:val="03295A" w:themeColor="accent4"/>
          <w:sz w:val="32"/>
        </w:rPr>
        <w:t>’</w:t>
      </w:r>
      <w:r>
        <w:rPr>
          <w:rFonts w:asciiTheme="majorHAnsi" w:hAnsiTheme="majorHAnsi"/>
          <w:b/>
          <w:color w:val="03295A" w:themeColor="accent4"/>
          <w:sz w:val="32"/>
        </w:rPr>
        <w:t>aliments</w:t>
      </w:r>
    </w:p>
    <w:p w14:paraId="12DBAF62" w14:textId="77777777" w:rsidR="00C364F1" w:rsidRDefault="00C364F1" w:rsidP="00C364F1">
      <w:pPr>
        <w:pStyle w:val="PBParagraph"/>
        <w:numPr>
          <w:ilvl w:val="0"/>
          <w:numId w:val="0"/>
        </w:numPr>
        <w:ind w:left="567"/>
      </w:pPr>
    </w:p>
    <w:p w14:paraId="3EA1C1D0" w14:textId="3CE1E135" w:rsidR="00703C3E" w:rsidRPr="00A456C6" w:rsidRDefault="00703C3E" w:rsidP="00703C3E">
      <w:pPr>
        <w:pStyle w:val="PBParagraph"/>
      </w:pPr>
      <w:r>
        <w:t>Lors de sa réunion de 2023, le Conseil sur les affaires générales et la politique (CAGP) de la HCCH a conclu et décidé ce qui suit concernant le travail du Groupe d</w:t>
      </w:r>
      <w:r w:rsidR="00780344">
        <w:t>’</w:t>
      </w:r>
      <w:r>
        <w:t>experts sur les transferts internationaux d</w:t>
      </w:r>
      <w:r w:rsidR="00780344">
        <w:t>’</w:t>
      </w:r>
      <w:r>
        <w:t>aliments (Groupe) :</w:t>
      </w:r>
    </w:p>
    <w:p w14:paraId="5E950CE5" w14:textId="5E14F913" w:rsidR="00703C3E" w:rsidRPr="00B43BDB" w:rsidRDefault="00703C3E" w:rsidP="00703C3E">
      <w:pPr>
        <w:pStyle w:val="PBParagraph"/>
        <w:numPr>
          <w:ilvl w:val="0"/>
          <w:numId w:val="0"/>
        </w:numPr>
        <w:ind w:left="1134" w:right="566"/>
      </w:pPr>
      <w:r>
        <w:t>« 37. Le CAGP a pris acte de l</w:t>
      </w:r>
      <w:r w:rsidR="00780344">
        <w:t>’</w:t>
      </w:r>
      <w:r>
        <w:t>aide-mémoire de la réunion du Groupe d</w:t>
      </w:r>
      <w:r w:rsidR="00780344">
        <w:t>’</w:t>
      </w:r>
      <w:r>
        <w:t>experts sur les transferts internationaux d</w:t>
      </w:r>
      <w:r w:rsidR="00780344">
        <w:t>’</w:t>
      </w:r>
      <w:r>
        <w:t>aliments de février 2023. Le Groupe d</w:t>
      </w:r>
      <w:r w:rsidR="00780344">
        <w:t>’</w:t>
      </w:r>
      <w:r>
        <w:t>experts se réunira à nouveau et fera rapport au CAGP lors de sa réunion de 2024. »</w:t>
      </w:r>
    </w:p>
    <w:p w14:paraId="171CA036" w14:textId="06930A30" w:rsidR="00703C3E" w:rsidRPr="00A456C6" w:rsidRDefault="00703C3E" w:rsidP="00703C3E">
      <w:pPr>
        <w:pStyle w:val="PBParagraph"/>
      </w:pPr>
      <w:r>
        <w:t>En préparation de la réunion par vidéoconférence du Groupe du 29 au 31</w:t>
      </w:r>
      <w:r w:rsidR="00C55288">
        <w:t> </w:t>
      </w:r>
      <w:r>
        <w:t xml:space="preserve">janvier 2024, les Membres sont invités à </w:t>
      </w:r>
      <w:r w:rsidR="00C153FE">
        <w:t>consulter</w:t>
      </w:r>
      <w:r>
        <w:t xml:space="preserve"> le Doc. </w:t>
      </w:r>
      <w:proofErr w:type="gramStart"/>
      <w:r>
        <w:t>prél</w:t>
      </w:r>
      <w:proofErr w:type="gramEnd"/>
      <w:r>
        <w:t>. No 7E de février 2023</w:t>
      </w:r>
      <w:r>
        <w:rPr>
          <w:rFonts w:ascii="ZWAdobeF" w:hAnsi="ZWAdobeF"/>
          <w:sz w:val="2"/>
        </w:rPr>
        <w:t>,</w:t>
      </w:r>
      <w:r w:rsidRPr="00A456C6">
        <w:rPr>
          <w:rStyle w:val="FootnoteReference"/>
        </w:rPr>
        <w:footnoteReference w:id="2"/>
      </w:r>
      <w:r>
        <w:t xml:space="preserve">, qui comprend le Rapport ainsi que les Conclusions </w:t>
      </w:r>
      <w:r w:rsidR="009D02B6">
        <w:t>et</w:t>
      </w:r>
      <w:r>
        <w:t xml:space="preserve"> Recommandations adoptés par le Groupe. </w:t>
      </w:r>
    </w:p>
    <w:p w14:paraId="2E4E756B" w14:textId="7C7226EB" w:rsidR="00703C3E" w:rsidRPr="00A456C6" w:rsidRDefault="00703C3E" w:rsidP="009F228B">
      <w:pPr>
        <w:pStyle w:val="PBParagraph"/>
      </w:pPr>
      <w:r>
        <w:t>La composition du Groupe est ouverte à l</w:t>
      </w:r>
      <w:r w:rsidR="00780344">
        <w:t>’</w:t>
      </w:r>
      <w:r>
        <w:t>ensemble des Membres de la HCCH, qu</w:t>
      </w:r>
      <w:r w:rsidR="00780344">
        <w:t>’</w:t>
      </w:r>
      <w:r>
        <w:t>ils soient ou non Parties contractantes à la Convention HCCH Recouvrement des aliments de 2007. Afin d</w:t>
      </w:r>
      <w:r w:rsidR="00780344">
        <w:t>’</w:t>
      </w:r>
      <w:r>
        <w:t>assurer la représentation la plus large possible, les Membres n</w:t>
      </w:r>
      <w:r w:rsidR="00780344">
        <w:t>’</w:t>
      </w:r>
      <w:r>
        <w:t>ayant pas encore participé aux travaux du Groupe peuvent également soumettre des contributions ou des propositions.</w:t>
      </w:r>
    </w:p>
    <w:p w14:paraId="12FB62E4" w14:textId="61C0981D" w:rsidR="00703C3E" w:rsidRPr="00A456C6" w:rsidRDefault="00703C3E" w:rsidP="00703C3E">
      <w:pPr>
        <w:pStyle w:val="PBParagraph"/>
        <w:numPr>
          <w:ilvl w:val="0"/>
          <w:numId w:val="0"/>
        </w:numPr>
        <w:ind w:left="567"/>
        <w:rPr>
          <w:b/>
          <w:bCs/>
          <w:i/>
          <w:iCs/>
        </w:rPr>
      </w:pPr>
      <w:r>
        <w:rPr>
          <w:b/>
          <w:i/>
        </w:rPr>
        <w:t xml:space="preserve">Instructions pour </w:t>
      </w:r>
      <w:r w:rsidR="009F228B">
        <w:rPr>
          <w:b/>
          <w:i/>
        </w:rPr>
        <w:t>remplir</w:t>
      </w:r>
      <w:r>
        <w:rPr>
          <w:b/>
          <w:i/>
        </w:rPr>
        <w:t xml:space="preserve"> le </w:t>
      </w:r>
      <w:r w:rsidR="001453C7">
        <w:rPr>
          <w:b/>
          <w:i/>
        </w:rPr>
        <w:t>q</w:t>
      </w:r>
      <w:r>
        <w:rPr>
          <w:b/>
          <w:i/>
        </w:rPr>
        <w:t>uestionnaire</w:t>
      </w:r>
    </w:p>
    <w:p w14:paraId="510D7036" w14:textId="0FC2B509" w:rsidR="00703C3E" w:rsidRPr="00FD03E7" w:rsidRDefault="00703C3E" w:rsidP="00703C3E">
      <w:pPr>
        <w:pStyle w:val="PBParagraph"/>
      </w:pPr>
      <w:r>
        <w:t xml:space="preserve">Le </w:t>
      </w:r>
      <w:r w:rsidR="001453C7">
        <w:t>q</w:t>
      </w:r>
      <w:r>
        <w:t xml:space="preserve">uestionnaire </w:t>
      </w:r>
      <w:r w:rsidR="00413FB1" w:rsidRPr="00413FB1">
        <w:t>vise à faciliter la préparation de la réunion du Groupe d</w:t>
      </w:r>
      <w:r w:rsidR="00780344">
        <w:t>’</w:t>
      </w:r>
      <w:r w:rsidR="00413FB1" w:rsidRPr="00413FB1">
        <w:t>experts du 29 au 31</w:t>
      </w:r>
      <w:r w:rsidR="00413FB1">
        <w:t> </w:t>
      </w:r>
      <w:r w:rsidR="00413FB1" w:rsidRPr="00413FB1">
        <w:t xml:space="preserve">janvier 2024 sur </w:t>
      </w:r>
      <w:r w:rsidR="00413FB1">
        <w:t xml:space="preserve">les transferts </w:t>
      </w:r>
      <w:r w:rsidR="00413FB1" w:rsidRPr="00413FB1">
        <w:t>internationa</w:t>
      </w:r>
      <w:r w:rsidR="00413FB1">
        <w:t>ux d</w:t>
      </w:r>
      <w:r w:rsidR="00780344">
        <w:t>’</w:t>
      </w:r>
      <w:r w:rsidR="00413FB1">
        <w:t xml:space="preserve">aliments. </w:t>
      </w:r>
      <w:r w:rsidR="00410DC0">
        <w:t>Il</w:t>
      </w:r>
      <w:r w:rsidR="00413FB1" w:rsidRPr="00413FB1">
        <w:t xml:space="preserve"> </w:t>
      </w:r>
      <w:r>
        <w:t>n</w:t>
      </w:r>
      <w:r w:rsidR="00780344">
        <w:t>’</w:t>
      </w:r>
      <w:r>
        <w:t xml:space="preserve">est pas destiné à </w:t>
      </w:r>
      <w:r w:rsidR="009F4ED1">
        <w:t xml:space="preserve">faire suite au </w:t>
      </w:r>
      <w:r w:rsidR="001453C7">
        <w:t>q</w:t>
      </w:r>
      <w:r>
        <w:t xml:space="preserve">uestionnaire de 2022. Par conséquent, les Membres sont priés de fournir </w:t>
      </w:r>
      <w:r w:rsidR="00E44BCC">
        <w:t>de nouvelles</w:t>
      </w:r>
      <w:r>
        <w:t xml:space="preserve"> réponses </w:t>
      </w:r>
      <w:r w:rsidR="00E44BCC">
        <w:t xml:space="preserve">qui permettront </w:t>
      </w:r>
      <w:r>
        <w:t xml:space="preserve">de </w:t>
      </w:r>
      <w:r w:rsidR="008E678A" w:rsidRPr="008E678A">
        <w:t>faire le point sur la situation en janvier 2024.</w:t>
      </w:r>
    </w:p>
    <w:p w14:paraId="0B96A7FA" w14:textId="13CCFF9D" w:rsidR="00703C3E" w:rsidRPr="00A456C6" w:rsidRDefault="00703C3E" w:rsidP="00703C3E">
      <w:pPr>
        <w:pStyle w:val="PBParagraph"/>
      </w:pPr>
      <w:r>
        <w:t xml:space="preserve">Le </w:t>
      </w:r>
      <w:r w:rsidR="001453C7">
        <w:t>q</w:t>
      </w:r>
      <w:r>
        <w:t xml:space="preserve">uestionnaire est envoyé aux </w:t>
      </w:r>
      <w:r w:rsidR="00891F20">
        <w:t xml:space="preserve">Organes nationaux et de liaison de </w:t>
      </w:r>
      <w:r w:rsidR="000471C6">
        <w:t>l</w:t>
      </w:r>
      <w:r w:rsidR="00780344">
        <w:t>’</w:t>
      </w:r>
      <w:r w:rsidR="000471C6">
        <w:t>ensemble d</w:t>
      </w:r>
      <w:r w:rsidR="00891F20">
        <w:t>es Membres ainsi qu</w:t>
      </w:r>
      <w:r w:rsidR="00780344">
        <w:t>’</w:t>
      </w:r>
      <w:r w:rsidR="00891F20">
        <w:t xml:space="preserve">aux </w:t>
      </w:r>
      <w:r>
        <w:t>Autorités centrales désignées en vertu de la Convention HCCH Recouvrement des aliments de</w:t>
      </w:r>
      <w:r w:rsidR="00891F20">
        <w:t xml:space="preserve"> 2007</w:t>
      </w:r>
      <w:r>
        <w:t xml:space="preserve">. Pour les Parties contractantes à la Convention, il incombe en dernier ressort aux Autorités centrales de soumettre le </w:t>
      </w:r>
      <w:r w:rsidR="001453C7">
        <w:t>q</w:t>
      </w:r>
      <w:r>
        <w:t xml:space="preserve">uestionnaire </w:t>
      </w:r>
      <w:r w:rsidR="007841A2" w:rsidRPr="007841A2">
        <w:t xml:space="preserve">dûment rempli </w:t>
      </w:r>
      <w:r>
        <w:t>au Bureau Permanent (BP)</w:t>
      </w:r>
      <w:r w:rsidR="00F11423">
        <w:t xml:space="preserve">, </w:t>
      </w:r>
      <w:r w:rsidR="00F11423" w:rsidRPr="00F11423">
        <w:t xml:space="preserve">tandis que pour les Parties non contractantes, </w:t>
      </w:r>
      <w:r w:rsidR="004273C4">
        <w:t>cela</w:t>
      </w:r>
      <w:r w:rsidR="00C20DBB">
        <w:t xml:space="preserve"> incombe aux </w:t>
      </w:r>
      <w:r w:rsidR="00F11423" w:rsidRPr="00F11423">
        <w:t>Organes nationaux.</w:t>
      </w:r>
    </w:p>
    <w:p w14:paraId="2DB6EBED" w14:textId="4A9267D5" w:rsidR="00703C3E" w:rsidRPr="00A456C6" w:rsidRDefault="000133F5" w:rsidP="001C2F76">
      <w:pPr>
        <w:pStyle w:val="PBParagraph"/>
      </w:pPr>
      <w:r>
        <w:t xml:space="preserve">Le </w:t>
      </w:r>
      <w:r w:rsidR="001453C7">
        <w:t>q</w:t>
      </w:r>
      <w:r>
        <w:t xml:space="preserve">uestionnaire doit être </w:t>
      </w:r>
      <w:r w:rsidR="00E65B6A">
        <w:t>envoyé</w:t>
      </w:r>
      <w:r>
        <w:t xml:space="preserve"> au </w:t>
      </w:r>
      <w:r>
        <w:rPr>
          <w:b/>
        </w:rPr>
        <w:t>plus tard le 12 janvier 2024</w:t>
      </w:r>
      <w:r>
        <w:t xml:space="preserve">, en format Word, ce qui est important pour la compilation des données. Toute question concernant le </w:t>
      </w:r>
      <w:r w:rsidR="001453C7">
        <w:t>q</w:t>
      </w:r>
      <w:r>
        <w:t xml:space="preserve">uestionnaire peut être </w:t>
      </w:r>
      <w:r w:rsidR="00D33DAA">
        <w:t>envoyée</w:t>
      </w:r>
      <w:r>
        <w:t xml:space="preserve"> à l</w:t>
      </w:r>
      <w:r w:rsidR="00780344">
        <w:t>’</w:t>
      </w:r>
      <w:r>
        <w:t xml:space="preserve">adresse </w:t>
      </w:r>
      <w:hyperlink r:id="rId19" w:history="1">
        <w:r>
          <w:rPr>
            <w:rStyle w:val="Hyperlink"/>
          </w:rPr>
          <w:t>secretariat@hcch.net</w:t>
        </w:r>
      </w:hyperlink>
      <w:r>
        <w:t>.</w:t>
      </w:r>
    </w:p>
    <w:p w14:paraId="6CA00C86" w14:textId="620FF361" w:rsidR="00703C3E" w:rsidRDefault="00703C3E" w:rsidP="001C2F76">
      <w:pPr>
        <w:pStyle w:val="PBParagraph"/>
        <w:spacing w:line="259" w:lineRule="auto"/>
      </w:pPr>
      <w:r>
        <w:t>Le BP a l</w:t>
      </w:r>
      <w:r w:rsidR="00780344">
        <w:t>’</w:t>
      </w:r>
      <w:r>
        <w:t>intention, sauf indication contraire</w:t>
      </w:r>
      <w:r w:rsidR="001C2F76">
        <w:t xml:space="preserve"> ou demande expresse</w:t>
      </w:r>
      <w:r w:rsidR="00F767B1">
        <w:t xml:space="preserve"> de ne pas le faire</w:t>
      </w:r>
      <w:r>
        <w:t xml:space="preserve">, de publier toutes les réponses au </w:t>
      </w:r>
      <w:r w:rsidR="001453C7">
        <w:t>q</w:t>
      </w:r>
      <w:r>
        <w:t>uestionnaire sur le site web de la HCCH (</w:t>
      </w:r>
      <w:hyperlink r:id="rId20" w:history="1">
        <w:r>
          <w:rPr>
            <w:rStyle w:val="Hyperlink"/>
          </w:rPr>
          <w:t>www.hcch.net</w:t>
        </w:r>
      </w:hyperlink>
      <w:r>
        <w:t xml:space="preserve">). Par conséquent, veuillez indiquer clairement les réponses que vous ne souhaitez pas voir apparaître sur le site web </w:t>
      </w:r>
      <w:proofErr w:type="gramStart"/>
      <w:r>
        <w:t>de</w:t>
      </w:r>
      <w:proofErr w:type="gramEnd"/>
      <w:r>
        <w:t xml:space="preserve"> </w:t>
      </w:r>
      <w:r w:rsidR="00AC445F">
        <w:t>la HCCH</w:t>
      </w:r>
      <w:r>
        <w:t>.</w:t>
      </w:r>
      <w:r>
        <w:br w:type="page"/>
      </w:r>
    </w:p>
    <w:p w14:paraId="530D6352" w14:textId="77777777" w:rsidR="00703C3E" w:rsidRPr="00A456C6" w:rsidRDefault="00703C3E" w:rsidP="00703C3E">
      <w:pPr>
        <w:pStyle w:val="Title"/>
      </w:pPr>
      <w:r>
        <w:lastRenderedPageBreak/>
        <w:t>Questionnaire</w:t>
      </w:r>
    </w:p>
    <w:tbl>
      <w:tblPr>
        <w:tblW w:w="9072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70"/>
        <w:gridCol w:w="5102"/>
      </w:tblGrid>
      <w:tr w:rsidR="00703C3E" w:rsidRPr="00A456C6" w14:paraId="1F7F1F19" w14:textId="77777777" w:rsidTr="00371AF9">
        <w:trPr>
          <w:jc w:val="center"/>
        </w:trPr>
        <w:tc>
          <w:tcPr>
            <w:tcW w:w="39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A81755" w14:textId="1E575357" w:rsidR="00703C3E" w:rsidRPr="00A456C6" w:rsidRDefault="00703C3E" w:rsidP="00371AF9">
            <w:pPr>
              <w:rPr>
                <w:rFonts w:cstheme="minorHAnsi"/>
                <w:b/>
                <w:bCs/>
              </w:rPr>
            </w:pPr>
            <w:r>
              <w:t>Nom de l</w:t>
            </w:r>
            <w:r w:rsidR="00780344">
              <w:t>’</w:t>
            </w:r>
            <w:r>
              <w:t>État ou de l</w:t>
            </w:r>
            <w:r w:rsidR="00780344">
              <w:t>’</w:t>
            </w:r>
            <w:r>
              <w:t xml:space="preserve">unité </w:t>
            </w:r>
            <w:proofErr w:type="gramStart"/>
            <w:r>
              <w:t>territoriale</w:t>
            </w:r>
            <w:r w:rsidR="00C628D1">
              <w:rPr>
                <w:rFonts w:cstheme="minorHAnsi"/>
                <w:b/>
                <w:bCs/>
                <w:vertAlign w:val="superscript"/>
                <w:lang w:eastAsia="en-GB"/>
              </w:rPr>
              <w:t>[</w:t>
            </w:r>
            <w:proofErr w:type="gramEnd"/>
            <w:r>
              <w:rPr>
                <w:rFonts w:cstheme="minorHAnsi"/>
                <w:b/>
                <w:bCs/>
                <w:vertAlign w:val="superscript"/>
                <w:lang w:eastAsia="en-GB"/>
              </w:rPr>
              <w:footnoteReference w:customMarkFollows="1" w:id="3"/>
              <w:t>1]</w:t>
            </w:r>
            <w:r>
              <w:t> :</w:t>
            </w:r>
            <w:r>
              <w:rPr>
                <w:b/>
              </w:rPr>
              <w:t xml:space="preserve"> </w:t>
            </w:r>
          </w:p>
        </w:tc>
        <w:tc>
          <w:tcPr>
            <w:tcW w:w="509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93E9DA" w14:textId="374AFB03" w:rsidR="00703C3E" w:rsidRPr="00A456C6" w:rsidRDefault="00703C3E" w:rsidP="00371AF9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  <w:tr w:rsidR="00703C3E" w:rsidRPr="00A456C6" w14:paraId="1843CEE8" w14:textId="77777777" w:rsidTr="00371AF9">
        <w:trPr>
          <w:jc w:val="center"/>
        </w:trPr>
        <w:tc>
          <w:tcPr>
            <w:tcW w:w="905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D8BFD2" w14:textId="5B50C631" w:rsidR="00703C3E" w:rsidRPr="00A456C6" w:rsidRDefault="00703C3E" w:rsidP="00371AF9">
            <w:pPr>
              <w:rPr>
                <w:rFonts w:cstheme="minorHAnsi"/>
                <w:i/>
                <w:iCs/>
              </w:rPr>
            </w:pPr>
            <w:r>
              <w:rPr>
                <w:i/>
              </w:rPr>
              <w:t>Pour les besoins du suivi</w:t>
            </w:r>
            <w:r w:rsidR="00F51147">
              <w:rPr>
                <w:i/>
              </w:rPr>
              <w:t>. C</w:t>
            </w:r>
            <w:r>
              <w:rPr>
                <w:i/>
              </w:rPr>
              <w:t xml:space="preserve">es informations ne seront pas publiées dans le cadre des réponses au </w:t>
            </w:r>
            <w:r w:rsidR="001453C7">
              <w:rPr>
                <w:i/>
              </w:rPr>
              <w:t>q</w:t>
            </w:r>
            <w:r>
              <w:rPr>
                <w:i/>
              </w:rPr>
              <w:t>uestionnaire.</w:t>
            </w:r>
          </w:p>
        </w:tc>
      </w:tr>
      <w:tr w:rsidR="00703C3E" w:rsidRPr="00A456C6" w14:paraId="6806BD09" w14:textId="77777777" w:rsidTr="00371AF9">
        <w:trPr>
          <w:jc w:val="center"/>
        </w:trPr>
        <w:tc>
          <w:tcPr>
            <w:tcW w:w="3960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5583E" w14:textId="29FB2248" w:rsidR="00703C3E" w:rsidRPr="00A456C6" w:rsidRDefault="00703C3E" w:rsidP="00371AF9">
            <w:pPr>
              <w:rPr>
                <w:rFonts w:cstheme="minorHAnsi"/>
              </w:rPr>
            </w:pPr>
            <w:r>
              <w:t>Nom de la personne à contacter :</w:t>
            </w:r>
          </w:p>
        </w:tc>
        <w:tc>
          <w:tcPr>
            <w:tcW w:w="509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F74B0B" w14:textId="77777777" w:rsidR="00703C3E" w:rsidRPr="00A456C6" w:rsidRDefault="00703C3E" w:rsidP="00371AF9">
            <w:pPr>
              <w:rPr>
                <w:rFonts w:cstheme="minorHAnsi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  <w:tr w:rsidR="00703C3E" w:rsidRPr="00A456C6" w14:paraId="26A0A0EA" w14:textId="77777777" w:rsidTr="00371AF9">
        <w:trPr>
          <w:jc w:val="center"/>
        </w:trPr>
        <w:tc>
          <w:tcPr>
            <w:tcW w:w="3960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8EEC84" w14:textId="7EAD7B85" w:rsidR="00703C3E" w:rsidRPr="00A456C6" w:rsidRDefault="00703C3E" w:rsidP="00371AF9">
            <w:pPr>
              <w:rPr>
                <w:rFonts w:cstheme="minorHAnsi"/>
              </w:rPr>
            </w:pPr>
            <w:r>
              <w:t>Nom de l</w:t>
            </w:r>
            <w:r w:rsidR="00780344">
              <w:t>’</w:t>
            </w:r>
            <w:r>
              <w:t>autorité / du service :</w:t>
            </w:r>
          </w:p>
        </w:tc>
        <w:tc>
          <w:tcPr>
            <w:tcW w:w="509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147386" w14:textId="77777777" w:rsidR="00703C3E" w:rsidRPr="00A456C6" w:rsidRDefault="00703C3E" w:rsidP="00371AF9">
            <w:pPr>
              <w:rPr>
                <w:rFonts w:cstheme="minorHAnsi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  <w:tr w:rsidR="00703C3E" w:rsidRPr="00A456C6" w14:paraId="72C58796" w14:textId="77777777" w:rsidTr="00371AF9">
        <w:trPr>
          <w:jc w:val="center"/>
        </w:trPr>
        <w:tc>
          <w:tcPr>
            <w:tcW w:w="3960" w:type="dxa"/>
            <w:tcBorders>
              <w:top w:val="nil"/>
              <w:left w:val="single" w:sz="8" w:space="0" w:color="auto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4A048D" w14:textId="1E257990" w:rsidR="00703C3E" w:rsidRPr="00A456C6" w:rsidRDefault="00703C3E" w:rsidP="00371AF9">
            <w:pPr>
              <w:rPr>
                <w:rFonts w:cstheme="minorHAnsi"/>
              </w:rPr>
            </w:pPr>
            <w:r>
              <w:t>Numéro de téléphone :</w:t>
            </w:r>
          </w:p>
        </w:tc>
        <w:tc>
          <w:tcPr>
            <w:tcW w:w="5090" w:type="dxa"/>
            <w:tcBorders>
              <w:top w:val="nil"/>
              <w:left w:val="nil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9D835E" w14:textId="77777777" w:rsidR="00703C3E" w:rsidRPr="00A456C6" w:rsidRDefault="00703C3E" w:rsidP="00371AF9">
            <w:pPr>
              <w:rPr>
                <w:rFonts w:cstheme="minorHAnsi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  <w:tr w:rsidR="00703C3E" w:rsidRPr="00A456C6" w14:paraId="1E6DC7E8" w14:textId="77777777" w:rsidTr="00371AF9">
        <w:trPr>
          <w:jc w:val="center"/>
        </w:trPr>
        <w:tc>
          <w:tcPr>
            <w:tcW w:w="39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EF688D" w14:textId="0D01EE73" w:rsidR="00703C3E" w:rsidRPr="00A456C6" w:rsidRDefault="00703C3E" w:rsidP="00371AF9">
            <w:pPr>
              <w:rPr>
                <w:rFonts w:cstheme="minorHAnsi"/>
              </w:rPr>
            </w:pPr>
            <w:r>
              <w:t>Adresse électronique :</w:t>
            </w:r>
          </w:p>
        </w:tc>
        <w:tc>
          <w:tcPr>
            <w:tcW w:w="50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AA1CB" w14:textId="77777777" w:rsidR="00703C3E" w:rsidRPr="00A456C6" w:rsidRDefault="00703C3E" w:rsidP="00371AF9">
            <w:pPr>
              <w:rPr>
                <w:rFonts w:cstheme="minorHAnsi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49ADCFB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567"/>
      </w:pPr>
    </w:p>
    <w:p w14:paraId="741C70E2" w14:textId="27C350D3" w:rsidR="00703C3E" w:rsidRPr="00A456C6" w:rsidRDefault="00703C3E" w:rsidP="00703C3E">
      <w:pPr>
        <w:pStyle w:val="PBParagraph"/>
        <w:numPr>
          <w:ilvl w:val="0"/>
          <w:numId w:val="0"/>
        </w:numPr>
        <w:ind w:left="567"/>
      </w:pPr>
      <w:r>
        <w:t>Aux fins de la réunion du Groupe du 29 au 31</w:t>
      </w:r>
      <w:r w:rsidR="00EF0F6F">
        <w:t> </w:t>
      </w:r>
      <w:r>
        <w:t>janvier 2024, les Membres sont invités à rendre compte de l</w:t>
      </w:r>
      <w:r w:rsidR="00780344">
        <w:t>’</w:t>
      </w:r>
      <w:r>
        <w:t>examen et / ou de la mise en œuvre des dispositions suivantes dans leur ressort juridique :</w:t>
      </w:r>
    </w:p>
    <w:p w14:paraId="022376EE" w14:textId="55F29E1D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Évolutions générales en ce qui concerne les transferts internationaux d</w:t>
      </w:r>
      <w:r w:rsidR="00780344">
        <w:t>’</w:t>
      </w:r>
      <w:r>
        <w:t>aliments (voir para. 1 à 7</w:t>
      </w:r>
      <w:r w:rsidR="004E57B8">
        <w:t xml:space="preserve"> </w:t>
      </w:r>
      <w:r>
        <w:t>de l</w:t>
      </w:r>
      <w:r w:rsidR="00780344">
        <w:t>’</w:t>
      </w:r>
      <w:r>
        <w:t>aide-mémoire de 2023</w:t>
      </w:r>
      <w:r w:rsidR="006F07DB">
        <w:rPr>
          <w:rStyle w:val="FootnoteReference"/>
        </w:rPr>
        <w:footnoteReference w:id="4"/>
      </w:r>
      <w:r>
        <w:t>)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032B01B" w14:textId="77777777" w:rsidTr="00371AF9">
        <w:tc>
          <w:tcPr>
            <w:tcW w:w="9628" w:type="dxa"/>
          </w:tcPr>
          <w:p w14:paraId="2596406F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039AB4C2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61152BC0" w14:textId="150A2FE5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Suppression de l</w:t>
      </w:r>
      <w:r w:rsidR="00780344">
        <w:t>’</w:t>
      </w:r>
      <w:r>
        <w:t>utilisation des chèques (voir C&amp;R No 1 de 2022</w:t>
      </w:r>
      <w:r w:rsidR="00782F12">
        <w:rPr>
          <w:rStyle w:val="FootnoteReference"/>
        </w:rPr>
        <w:footnoteReference w:id="5"/>
      </w:r>
      <w:r>
        <w:t xml:space="preserve"> et para. 8 et 9 de l</w:t>
      </w:r>
      <w:r w:rsidR="00780344">
        <w:t>’</w:t>
      </w:r>
      <w:r>
        <w:t>aide-mémoire de 2023)</w:t>
      </w:r>
    </w:p>
    <w:p w14:paraId="043C4436" w14:textId="2520F76E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bookmarkStart w:id="3" w:name="Check2"/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bookmarkEnd w:id="3"/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7A1323C" w14:textId="77777777" w:rsidTr="00371AF9">
        <w:tc>
          <w:tcPr>
            <w:tcW w:w="9628" w:type="dxa"/>
          </w:tcPr>
          <w:p w14:paraId="17118ED5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E10EBC2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0A3141A7" w14:textId="079CCAE9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0172093" w14:textId="77777777" w:rsidTr="00371AF9">
        <w:tc>
          <w:tcPr>
            <w:tcW w:w="9628" w:type="dxa"/>
          </w:tcPr>
          <w:p w14:paraId="1EB064C8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42499207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1B73DC4E" w14:textId="727EDACC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DBBC91F" w14:textId="77777777" w:rsidTr="00371AF9">
        <w:tc>
          <w:tcPr>
            <w:tcW w:w="9628" w:type="dxa"/>
          </w:tcPr>
          <w:p w14:paraId="46D753EF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381F872C" w14:textId="77777777" w:rsidR="00703C3E" w:rsidRDefault="00703C3E" w:rsidP="00703C3E">
      <w:pPr>
        <w:pStyle w:val="PBParagraph"/>
        <w:numPr>
          <w:ilvl w:val="0"/>
          <w:numId w:val="0"/>
        </w:numPr>
        <w:ind w:left="1134"/>
      </w:pPr>
    </w:p>
    <w:p w14:paraId="2C9185D1" w14:textId="1031708C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Solutions en matière de transparence accrue et de réduction des coûts des transferts et de la conversion monétaire (voir C&amp;R Nos 2 et 10 de 2022 et para. 10 à 13 de l</w:t>
      </w:r>
      <w:r w:rsidR="00780344">
        <w:t>’</w:t>
      </w:r>
      <w:r>
        <w:t>aide-mémoire de 2023)</w:t>
      </w:r>
    </w:p>
    <w:p w14:paraId="65C76CCE" w14:textId="446BB155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envisagées.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30381C0E" w14:textId="77777777" w:rsidTr="00371AF9">
        <w:tc>
          <w:tcPr>
            <w:tcW w:w="9628" w:type="dxa"/>
          </w:tcPr>
          <w:p w14:paraId="2EA5F86C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399103C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5210D51E" w14:textId="505B1A0D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lastRenderedPageBreak/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</w:t>
      </w:r>
      <w:r w:rsidR="009603F6">
        <w:t>s</w:t>
      </w:r>
      <w:r>
        <w:t>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B43563A" w14:textId="77777777" w:rsidTr="00371AF9">
        <w:tc>
          <w:tcPr>
            <w:tcW w:w="9628" w:type="dxa"/>
          </w:tcPr>
          <w:p w14:paraId="6ACCBB89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BBAE29E" w14:textId="77777777" w:rsidR="00362DFD" w:rsidRPr="00A456C6" w:rsidRDefault="00362DFD" w:rsidP="00703C3E">
      <w:pPr>
        <w:pStyle w:val="PBParagraph"/>
        <w:numPr>
          <w:ilvl w:val="0"/>
          <w:numId w:val="0"/>
        </w:numPr>
        <w:ind w:left="1134"/>
      </w:pPr>
    </w:p>
    <w:p w14:paraId="1F3CC8E7" w14:textId="191B88C8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</w:r>
      <w:r w:rsidR="00614CF7">
        <w:t>Ont</w:t>
      </w:r>
      <w:r>
        <w:t xml:space="preserve"> déjà été mise</w:t>
      </w:r>
      <w:r w:rsidR="00614CF7">
        <w:t>s</w:t>
      </w:r>
      <w:r>
        <w:t xml:space="preserve">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20F55AE2" w14:textId="77777777" w:rsidTr="00371AF9">
        <w:tc>
          <w:tcPr>
            <w:tcW w:w="8165" w:type="dxa"/>
          </w:tcPr>
          <w:p w14:paraId="79F401C8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FAC4213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0E6FD907" w14:textId="3D43340F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Solutions dans lesquelles les créanciers ne prendraient pas en charge les coûts afférents aux transferts de fonds (voir C&amp;R Nos 2 et 11 de 2022 et para. 14 et 15 de l</w:t>
      </w:r>
      <w:r w:rsidR="00780344">
        <w:t>’</w:t>
      </w:r>
      <w:r>
        <w:t>aide-mémoire de 2023)</w:t>
      </w:r>
    </w:p>
    <w:p w14:paraId="73E59A69" w14:textId="34CF8B30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envisagées.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FA40714" w14:textId="77777777" w:rsidTr="00371AF9">
        <w:tc>
          <w:tcPr>
            <w:tcW w:w="9628" w:type="dxa"/>
          </w:tcPr>
          <w:p w14:paraId="4A61A92D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2B05B09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72A16120" w14:textId="2E3B5242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</w:t>
      </w:r>
      <w:r w:rsidR="00BD7762">
        <w:t>s</w:t>
      </w:r>
      <w:r>
        <w:t>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9063F8B" w14:textId="77777777" w:rsidTr="00371AF9">
        <w:tc>
          <w:tcPr>
            <w:tcW w:w="9628" w:type="dxa"/>
          </w:tcPr>
          <w:p w14:paraId="34180861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FC063DB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32C3906A" w14:textId="27B38D2A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</w:r>
      <w:r w:rsidR="00BD7762">
        <w:t>Ont</w:t>
      </w:r>
      <w:r>
        <w:t xml:space="preserve"> déjà été mise</w:t>
      </w:r>
      <w:r w:rsidR="00BD7762">
        <w:t>s</w:t>
      </w:r>
      <w:r>
        <w:t xml:space="preserve">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666B1733" w14:textId="77777777" w:rsidTr="00371AF9">
        <w:tc>
          <w:tcPr>
            <w:tcW w:w="9628" w:type="dxa"/>
          </w:tcPr>
          <w:p w14:paraId="138813C5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3565E6EE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2159056A" w14:textId="49564189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Dispositions de l</w:t>
      </w:r>
      <w:r w:rsidR="00780344">
        <w:t>’</w:t>
      </w:r>
      <w:r>
        <w:t>Autorité centrale requise avec sa banque afin de couvrir les frais de transferts ou d</w:t>
      </w:r>
      <w:r w:rsidR="00780344">
        <w:t>’</w:t>
      </w:r>
      <w:r>
        <w:t>autres dispositions à cet effet (voir C&amp;R No 3 de 2022 et para. 16 et 17 de l</w:t>
      </w:r>
      <w:r w:rsidR="00780344">
        <w:t>’</w:t>
      </w:r>
      <w:r>
        <w:t>aide-mémoire de 2023)</w:t>
      </w:r>
    </w:p>
    <w:p w14:paraId="6F317BE3" w14:textId="4E4427B1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envisagées.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D67DC4E" w14:textId="77777777" w:rsidTr="00371AF9">
        <w:tc>
          <w:tcPr>
            <w:tcW w:w="9628" w:type="dxa"/>
          </w:tcPr>
          <w:p w14:paraId="586A9F23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47B66F6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6D29E845" w14:textId="0B04B298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</w:t>
      </w:r>
      <w:r w:rsidR="00731C46">
        <w:t>s</w:t>
      </w:r>
      <w:r>
        <w:t>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267D1978" w14:textId="77777777" w:rsidTr="00371AF9">
        <w:tc>
          <w:tcPr>
            <w:tcW w:w="9628" w:type="dxa"/>
          </w:tcPr>
          <w:p w14:paraId="7BC09766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2846DC59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41800E4F" w14:textId="56796AD8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</w:r>
      <w:r w:rsidR="00731C46">
        <w:t>Ont</w:t>
      </w:r>
      <w:r>
        <w:t xml:space="preserve"> déjà été mise</w:t>
      </w:r>
      <w:r w:rsidR="00731C46">
        <w:t>s</w:t>
      </w:r>
      <w:r>
        <w:t xml:space="preserve">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828A1A7" w14:textId="77777777" w:rsidTr="00E91763">
        <w:trPr>
          <w:trHeight w:val="263"/>
        </w:trPr>
        <w:tc>
          <w:tcPr>
            <w:tcW w:w="9628" w:type="dxa"/>
          </w:tcPr>
          <w:p w14:paraId="68B1CD94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9CE32F3" w14:textId="77777777" w:rsidR="00703C3E" w:rsidRDefault="00703C3E" w:rsidP="00703C3E">
      <w:pPr>
        <w:pStyle w:val="PBParagraph"/>
        <w:numPr>
          <w:ilvl w:val="0"/>
          <w:numId w:val="0"/>
        </w:numPr>
        <w:ind w:left="1134"/>
      </w:pPr>
    </w:p>
    <w:p w14:paraId="16855F5C" w14:textId="2460825C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Confirmation de l</w:t>
      </w:r>
      <w:r w:rsidR="00780344">
        <w:t>’</w:t>
      </w:r>
      <w:r>
        <w:t>Autorité centrale requérante auprès de l</w:t>
      </w:r>
      <w:r w:rsidR="00780344">
        <w:t>’</w:t>
      </w:r>
      <w:r>
        <w:t>Autorité centrale requise que les montants envoyés sont les mêmes que les montants reçus et, le cas échéant, les raisons d</w:t>
      </w:r>
      <w:r w:rsidR="00780344">
        <w:t>’</w:t>
      </w:r>
      <w:r>
        <w:t>un écart éventuel (voir C&amp;R No°3 de 2022 et para. 18 à 21 de l</w:t>
      </w:r>
      <w:r w:rsidR="00780344">
        <w:t>’</w:t>
      </w:r>
      <w:r>
        <w:t>aide-mémoire de 2023)</w:t>
      </w:r>
    </w:p>
    <w:p w14:paraId="15A8000D" w14:textId="79CEA2E4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25D01A3E" w14:textId="77777777" w:rsidTr="00371AF9">
        <w:tc>
          <w:tcPr>
            <w:tcW w:w="9628" w:type="dxa"/>
          </w:tcPr>
          <w:p w14:paraId="6916ABF7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3B8B8B80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73737235" w14:textId="77777777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9CD6603" w14:textId="77777777" w:rsidTr="00371AF9">
        <w:tc>
          <w:tcPr>
            <w:tcW w:w="9628" w:type="dxa"/>
          </w:tcPr>
          <w:p w14:paraId="2EF14AC0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57CF7F1E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4E4C8FD1" w14:textId="2FF1488F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3BF617F7" w14:textId="77777777" w:rsidTr="00371AF9">
        <w:tc>
          <w:tcPr>
            <w:tcW w:w="9628" w:type="dxa"/>
          </w:tcPr>
          <w:p w14:paraId="6A3630AC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B0244A1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510FD5E4" w14:textId="0CA32DE5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Établissement d</w:t>
      </w:r>
      <w:r w:rsidR="00780344">
        <w:t>’</w:t>
      </w:r>
      <w:r>
        <w:t>un point central (par ex., compte bancaire, banque centrale) pour les transferts internationaux</w:t>
      </w:r>
      <w:r w:rsidR="00531147">
        <w:t>,</w:t>
      </w:r>
      <w:r>
        <w:t xml:space="preserve"> dédié à la fois aux transferts de fonds entrants et sortants (voir C&amp;R Nos 4 et 5 de 2022 et para. 22 à 24 de l</w:t>
      </w:r>
      <w:r w:rsidR="00780344">
        <w:t>’</w:t>
      </w:r>
      <w:r>
        <w:t>aide-mémoire de 2023)</w:t>
      </w:r>
    </w:p>
    <w:p w14:paraId="678D59FA" w14:textId="074C039C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6951832" w14:textId="77777777" w:rsidTr="00371AF9">
        <w:tc>
          <w:tcPr>
            <w:tcW w:w="9628" w:type="dxa"/>
          </w:tcPr>
          <w:p w14:paraId="34C1B6F8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20CDF050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1788DEBE" w14:textId="0F98AA5C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06ECDDA" w14:textId="77777777" w:rsidTr="00371AF9">
        <w:tc>
          <w:tcPr>
            <w:tcW w:w="9628" w:type="dxa"/>
          </w:tcPr>
          <w:p w14:paraId="78D5E2E8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5DBE980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1099D461" w14:textId="6ECC554C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619DD017" w14:textId="77777777" w:rsidTr="00371AF9">
        <w:tc>
          <w:tcPr>
            <w:tcW w:w="8165" w:type="dxa"/>
          </w:tcPr>
          <w:p w14:paraId="47AD6238" w14:textId="685FDF0E" w:rsidR="00703C3E" w:rsidRPr="00D311ED" w:rsidRDefault="00703C3E" w:rsidP="00371AF9">
            <w:pPr>
              <w:pStyle w:val="PBParagraph"/>
              <w:numPr>
                <w:ilvl w:val="0"/>
                <w:numId w:val="0"/>
              </w:numPr>
              <w:rPr>
                <w:rFonts w:cstheme="minorHAnsi"/>
                <w:color w:val="0069B4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E44E2B6" w14:textId="77777777" w:rsidR="00703C3E" w:rsidRDefault="00703C3E" w:rsidP="00703C3E">
      <w:pPr>
        <w:pStyle w:val="PBParagraph"/>
        <w:numPr>
          <w:ilvl w:val="0"/>
          <w:numId w:val="0"/>
        </w:numPr>
        <w:ind w:left="1134"/>
      </w:pPr>
    </w:p>
    <w:p w14:paraId="33BA5096" w14:textId="694A2099" w:rsidR="00703C3E" w:rsidRPr="00A456C6" w:rsidRDefault="00703C3E" w:rsidP="0061738F">
      <w:pPr>
        <w:pStyle w:val="PBParagraph"/>
        <w:numPr>
          <w:ilvl w:val="1"/>
          <w:numId w:val="3"/>
        </w:numPr>
        <w:ind w:left="1701" w:hanging="1134"/>
      </w:pPr>
      <w:r>
        <w:t>Recours aux possibilités offertes par l</w:t>
      </w:r>
      <w:r w:rsidR="00780344">
        <w:t>’</w:t>
      </w:r>
      <w:r>
        <w:rPr>
          <w:i/>
        </w:rPr>
        <w:t>Arrangement concernant les services postaux de paiement de l</w:t>
      </w:r>
      <w:r w:rsidR="00780344">
        <w:rPr>
          <w:i/>
        </w:rPr>
        <w:t>’</w:t>
      </w:r>
      <w:r>
        <w:rPr>
          <w:i/>
        </w:rPr>
        <w:t>Union postale universelle</w:t>
      </w:r>
      <w:r>
        <w:t xml:space="preserve"> du 6 octobre 2016 (voir C&amp;R No 4 de 2022 et para. 25 de l</w:t>
      </w:r>
      <w:r w:rsidR="00780344">
        <w:t>’</w:t>
      </w:r>
      <w:r>
        <w:t xml:space="preserve">aide-mémoire de 2023) </w:t>
      </w:r>
    </w:p>
    <w:p w14:paraId="0DB256B3" w14:textId="22903986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6953CC82" w14:textId="77777777" w:rsidTr="00371AF9">
        <w:tc>
          <w:tcPr>
            <w:tcW w:w="9628" w:type="dxa"/>
          </w:tcPr>
          <w:p w14:paraId="0DB4BA17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4ED9945B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0C1D4DF0" w14:textId="00F3C319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F2C486F" w14:textId="77777777" w:rsidTr="00371AF9">
        <w:tc>
          <w:tcPr>
            <w:tcW w:w="9628" w:type="dxa"/>
          </w:tcPr>
          <w:p w14:paraId="5B43B2B9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0E3B35F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6A6536AD" w14:textId="06478631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704B974" w14:textId="77777777" w:rsidTr="00371AF9">
        <w:tc>
          <w:tcPr>
            <w:tcW w:w="9628" w:type="dxa"/>
          </w:tcPr>
          <w:p w14:paraId="47EF6BBB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B4B6CC9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37992619" w14:textId="0CB87D8E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Fourniture de services de transfert de paiement à tout débiteur qui transfère des paiements dans le cadre de la Convention HCCH Recouvrement des aliments de 2007 (voir C&amp;R No 5 de 2022 et para. 26 à 28 de l</w:t>
      </w:r>
      <w:r w:rsidR="00780344">
        <w:t>’</w:t>
      </w:r>
      <w:r>
        <w:t>aide-mémoire de 2023)</w:t>
      </w:r>
    </w:p>
    <w:p w14:paraId="09576713" w14:textId="40351E3E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5116BF3" w14:textId="77777777" w:rsidTr="00371AF9">
        <w:tc>
          <w:tcPr>
            <w:tcW w:w="9628" w:type="dxa"/>
          </w:tcPr>
          <w:p w14:paraId="7919FD25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38673EB1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6BDCD80D" w14:textId="50D60FD5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9540FD9" w14:textId="77777777" w:rsidTr="00371AF9">
        <w:tc>
          <w:tcPr>
            <w:tcW w:w="9628" w:type="dxa"/>
          </w:tcPr>
          <w:p w14:paraId="12595D11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8F0B3EC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45335880" w14:textId="3F2A3A04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A1E3356" w14:textId="77777777" w:rsidTr="00371AF9">
        <w:tc>
          <w:tcPr>
            <w:tcW w:w="9628" w:type="dxa"/>
          </w:tcPr>
          <w:p w14:paraId="5DD6F267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lastRenderedPageBreak/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3A41C86" w14:textId="77777777" w:rsidR="00703C3E" w:rsidRDefault="00703C3E" w:rsidP="00703C3E">
      <w:pPr>
        <w:pStyle w:val="PBParagraph"/>
        <w:numPr>
          <w:ilvl w:val="0"/>
          <w:numId w:val="0"/>
        </w:numPr>
        <w:ind w:left="1134"/>
      </w:pPr>
    </w:p>
    <w:p w14:paraId="19E6EF96" w14:textId="762B6737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Mise en œuvre de systèmes de suivi de transfert de paiement (voir C&amp;R No 6 de 2022 et para. 29 à 34 de l</w:t>
      </w:r>
      <w:r w:rsidR="00780344">
        <w:t>’</w:t>
      </w:r>
      <w:r>
        <w:t>aide-mémoire de 2023)</w:t>
      </w:r>
    </w:p>
    <w:p w14:paraId="4B821C17" w14:textId="6334EACA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A382404" w14:textId="77777777" w:rsidTr="00371AF9">
        <w:tc>
          <w:tcPr>
            <w:tcW w:w="9628" w:type="dxa"/>
          </w:tcPr>
          <w:p w14:paraId="597C8CF3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6CA69D8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4E4B6CBE" w14:textId="03AA096D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5881383F" w14:textId="77777777" w:rsidTr="00371AF9">
        <w:tc>
          <w:tcPr>
            <w:tcW w:w="9628" w:type="dxa"/>
          </w:tcPr>
          <w:p w14:paraId="3E9796CE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7057B9CD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707FE368" w14:textId="2D384828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E28F780" w14:textId="77777777" w:rsidTr="00371AF9">
        <w:tc>
          <w:tcPr>
            <w:tcW w:w="9628" w:type="dxa"/>
          </w:tcPr>
          <w:p w14:paraId="75440962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4ABCFEE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1E549C8E" w14:textId="044B5BF1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Mise en œuvre de références de dossier uniques, connues de l</w:t>
      </w:r>
      <w:r w:rsidR="00780344">
        <w:t>’</w:t>
      </w:r>
      <w:r>
        <w:t>État requérant et de l</w:t>
      </w:r>
      <w:r w:rsidR="00780344">
        <w:t>’</w:t>
      </w:r>
      <w:r>
        <w:t>État requis, jointes à chaque transfert de fonds (voir C&amp;R No 36 de 35 de 2022 et para. 35 et 36 de l</w:t>
      </w:r>
      <w:r w:rsidR="00780344">
        <w:t>’</w:t>
      </w:r>
      <w:r>
        <w:t>aide-mémoire de 2023)</w:t>
      </w:r>
    </w:p>
    <w:p w14:paraId="2F06A4D1" w14:textId="6E61D9F3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34141FB8" w14:textId="77777777" w:rsidTr="00371AF9">
        <w:tc>
          <w:tcPr>
            <w:tcW w:w="9628" w:type="dxa"/>
          </w:tcPr>
          <w:p w14:paraId="2CEDA65E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031198D5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5520E5B1" w14:textId="3AF33B10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4A17EB2D" w14:textId="77777777" w:rsidTr="00371AF9">
        <w:tc>
          <w:tcPr>
            <w:tcW w:w="9628" w:type="dxa"/>
          </w:tcPr>
          <w:p w14:paraId="6A1887A0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2A60653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064D63FD" w14:textId="202D9960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34FD87E" w14:textId="77777777" w:rsidTr="00371AF9">
        <w:tc>
          <w:tcPr>
            <w:tcW w:w="9628" w:type="dxa"/>
          </w:tcPr>
          <w:p w14:paraId="62019F79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59315D6C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55D9D79E" w14:textId="76435B49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Mise en œuvre de la conversion monétaire des paiements confiée à l</w:t>
      </w:r>
      <w:r w:rsidR="00780344">
        <w:t>’</w:t>
      </w:r>
      <w:r>
        <w:t>autorité compétente de l</w:t>
      </w:r>
      <w:r w:rsidR="00780344">
        <w:t>’</w:t>
      </w:r>
      <w:r>
        <w:t>État requis au moment du transfert (voir C&amp;R No°8 de 2022, para. 1 à 7 de l</w:t>
      </w:r>
      <w:r w:rsidR="00780344">
        <w:t>’</w:t>
      </w:r>
      <w:r>
        <w:t>aide-mémoire de 2023 et para. 37 de l</w:t>
      </w:r>
      <w:r w:rsidR="00780344">
        <w:t>’</w:t>
      </w:r>
      <w:r>
        <w:t>aide-mémoire de 2023)</w:t>
      </w:r>
    </w:p>
    <w:p w14:paraId="2131AB02" w14:textId="7EF9102D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</w:t>
      </w:r>
      <w:r w:rsidR="003A307E">
        <w:t>.</w:t>
      </w:r>
      <w:r>
        <w:t xml:space="preserve">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2D455CFA" w14:textId="77777777" w:rsidTr="00371AF9">
        <w:tc>
          <w:tcPr>
            <w:tcW w:w="9628" w:type="dxa"/>
          </w:tcPr>
          <w:p w14:paraId="097A20B4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590CB684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57C2BBAC" w14:textId="3CD6293E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63AA4246" w14:textId="77777777" w:rsidTr="00371AF9">
        <w:tc>
          <w:tcPr>
            <w:tcW w:w="9628" w:type="dxa"/>
          </w:tcPr>
          <w:p w14:paraId="64A68787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15BD576A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1BCF4B23" w14:textId="33EE9AB0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6E3B676F" w14:textId="77777777" w:rsidTr="00371AF9">
        <w:tc>
          <w:tcPr>
            <w:tcW w:w="8165" w:type="dxa"/>
          </w:tcPr>
          <w:p w14:paraId="7A823815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  <w:rPr>
                <w:rFonts w:cstheme="minorHAnsi"/>
                <w:color w:val="0069B4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  <w:p w14:paraId="70AE6A92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</w:p>
        </w:tc>
      </w:tr>
    </w:tbl>
    <w:p w14:paraId="77FC0C06" w14:textId="77777777" w:rsidR="00703C3E" w:rsidRDefault="00703C3E" w:rsidP="007D26BD">
      <w:pPr>
        <w:pStyle w:val="PBParagraph"/>
        <w:numPr>
          <w:ilvl w:val="0"/>
          <w:numId w:val="0"/>
        </w:numPr>
      </w:pPr>
    </w:p>
    <w:p w14:paraId="1B664861" w14:textId="5A8AFB66" w:rsidR="00703C3E" w:rsidRPr="00A456C6" w:rsidRDefault="00703C3E" w:rsidP="00703C3E">
      <w:pPr>
        <w:pStyle w:val="PBParagraph"/>
        <w:numPr>
          <w:ilvl w:val="1"/>
          <w:numId w:val="3"/>
        </w:numPr>
      </w:pPr>
      <w:r>
        <w:lastRenderedPageBreak/>
        <w:t>Fourniture d</w:t>
      </w:r>
      <w:r w:rsidR="00780344">
        <w:t>’</w:t>
      </w:r>
      <w:r>
        <w:t>informations sur les opérations bancaires internationales aux créanciers et aux débiteurs (voir C&amp;R No 12 de 2022 et para. 38 de l</w:t>
      </w:r>
      <w:r w:rsidR="00780344">
        <w:t>’</w:t>
      </w:r>
      <w:r>
        <w:t>aide-mémoire de 2023)</w:t>
      </w:r>
    </w:p>
    <w:p w14:paraId="3DF37101" w14:textId="202574BE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7EE91A1" w14:textId="77777777" w:rsidTr="00371AF9">
        <w:tc>
          <w:tcPr>
            <w:tcW w:w="9628" w:type="dxa"/>
          </w:tcPr>
          <w:p w14:paraId="3F42FCF1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6558C6D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7AF9219D" w14:textId="57FC5717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ACAA798" w14:textId="77777777" w:rsidTr="00371AF9">
        <w:tc>
          <w:tcPr>
            <w:tcW w:w="9628" w:type="dxa"/>
          </w:tcPr>
          <w:p w14:paraId="428B7314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B61CC01" w14:textId="77777777" w:rsidR="00515586" w:rsidRPr="00A456C6" w:rsidRDefault="00515586" w:rsidP="00703C3E">
      <w:pPr>
        <w:pStyle w:val="PBParagraph"/>
        <w:numPr>
          <w:ilvl w:val="0"/>
          <w:numId w:val="0"/>
        </w:numPr>
        <w:ind w:left="1134"/>
      </w:pPr>
    </w:p>
    <w:p w14:paraId="65C68E4A" w14:textId="06A604CC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546AC50D" w14:textId="77777777" w:rsidTr="00371AF9">
        <w:tc>
          <w:tcPr>
            <w:tcW w:w="8165" w:type="dxa"/>
          </w:tcPr>
          <w:p w14:paraId="726CD66B" w14:textId="1C12B576" w:rsidR="00703C3E" w:rsidRDefault="00703C3E" w:rsidP="00515586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16A65D0" w14:textId="77777777" w:rsidR="00515586" w:rsidRDefault="00515586" w:rsidP="00515586">
      <w:pPr>
        <w:pStyle w:val="PBParagraph"/>
        <w:numPr>
          <w:ilvl w:val="0"/>
          <w:numId w:val="0"/>
        </w:numPr>
        <w:ind w:left="1134"/>
      </w:pPr>
    </w:p>
    <w:p w14:paraId="1F165911" w14:textId="66D300B7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Mise en place d</w:t>
      </w:r>
      <w:r w:rsidR="00780344">
        <w:t>’</w:t>
      </w:r>
      <w:r>
        <w:t>un cadre juridique permettant à l</w:t>
      </w:r>
      <w:r w:rsidR="00780344">
        <w:t>’</w:t>
      </w:r>
      <w:r>
        <w:t xml:space="preserve">Autorité centrale, agissant à la fois comme Autorité centrale requérante et Autorité centrale requise, de traiter les transferts de fonds </w:t>
      </w:r>
      <w:r w:rsidR="002D356C">
        <w:t>–</w:t>
      </w:r>
      <w:r>
        <w:t xml:space="preserve"> ou du moins les principales parties du processus </w:t>
      </w:r>
      <w:r w:rsidR="002D356C">
        <w:t>–</w:t>
      </w:r>
      <w:r>
        <w:t xml:space="preserve"> de manière aussi automatisée que possible (voir C&amp;R No 13 de 2022 et para. 39 et 40 de l</w:t>
      </w:r>
      <w:r w:rsidR="00780344">
        <w:t>’</w:t>
      </w:r>
      <w:r>
        <w:t>aide-mémoire de 2023)</w:t>
      </w:r>
    </w:p>
    <w:p w14:paraId="3763B6BF" w14:textId="7BDDB923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</w:t>
      </w:r>
      <w:r w:rsidR="003A307E">
        <w:t>.</w:t>
      </w:r>
      <w:r>
        <w:t xml:space="preserve">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282C340" w14:textId="77777777" w:rsidTr="00371AF9">
        <w:tc>
          <w:tcPr>
            <w:tcW w:w="9628" w:type="dxa"/>
          </w:tcPr>
          <w:p w14:paraId="07668180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6D89271E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41AEA4EF" w14:textId="04146323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16E1B01" w14:textId="77777777" w:rsidTr="00371AF9">
        <w:tc>
          <w:tcPr>
            <w:tcW w:w="9628" w:type="dxa"/>
          </w:tcPr>
          <w:p w14:paraId="63FA391E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480EA671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751415EA" w14:textId="1D2BED17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06097964" w14:textId="77777777" w:rsidTr="00371AF9">
        <w:tc>
          <w:tcPr>
            <w:tcW w:w="9628" w:type="dxa"/>
          </w:tcPr>
          <w:p w14:paraId="1E999C2F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34829B4A" w14:textId="77777777" w:rsidR="00703C3E" w:rsidRDefault="00703C3E" w:rsidP="00703C3E">
      <w:pPr>
        <w:ind w:firstLine="1134"/>
        <w:jc w:val="left"/>
      </w:pPr>
    </w:p>
    <w:p w14:paraId="118C34EF" w14:textId="540C90A4" w:rsidR="00703C3E" w:rsidRPr="00A456C6" w:rsidRDefault="00703C3E" w:rsidP="00703C3E">
      <w:pPr>
        <w:pStyle w:val="PBParagraph"/>
        <w:numPr>
          <w:ilvl w:val="1"/>
          <w:numId w:val="3"/>
        </w:numPr>
      </w:pPr>
      <w:r>
        <w:t>Mise en œuvre de dispositions avec les banques qui sont transparentes en ce qui concerne leurs frais et / ou qui font partie de l</w:t>
      </w:r>
      <w:r w:rsidR="00780344">
        <w:t>’</w:t>
      </w:r>
      <w:r>
        <w:t>Initiative SWIFT GPI (</w:t>
      </w:r>
      <w:r w:rsidRPr="00C9055D">
        <w:rPr>
          <w:i/>
          <w:iCs/>
        </w:rPr>
        <w:t>Global Payment Initiative</w:t>
      </w:r>
      <w:r>
        <w:t>) (voir C&amp;R No </w:t>
      </w:r>
      <w:r w:rsidR="00E47D96">
        <w:t>14</w:t>
      </w:r>
      <w:r>
        <w:t xml:space="preserve"> de 2022 et para. 41 de l</w:t>
      </w:r>
      <w:r w:rsidR="00780344">
        <w:t>’</w:t>
      </w:r>
      <w:r>
        <w:t>aide-mémoire de 2023)</w:t>
      </w:r>
    </w:p>
    <w:p w14:paraId="4AD78080" w14:textId="4B4C25E4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Pas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1640E505" w14:textId="77777777" w:rsidTr="00371AF9">
        <w:tc>
          <w:tcPr>
            <w:tcW w:w="9628" w:type="dxa"/>
          </w:tcPr>
          <w:p w14:paraId="486999DF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529E9E99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  <w:rPr>
          <w:rFonts w:eastAsia="SimSun" w:cstheme="minorHAnsi"/>
        </w:rPr>
      </w:pPr>
    </w:p>
    <w:p w14:paraId="2A372CC0" w14:textId="7F5453A8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Actuellement envisagée.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56CA39A7" w14:textId="77777777" w:rsidTr="00371AF9">
        <w:tc>
          <w:tcPr>
            <w:tcW w:w="9628" w:type="dxa"/>
          </w:tcPr>
          <w:p w14:paraId="21BC7B13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2712ACE3" w14:textId="77777777" w:rsidR="00703C3E" w:rsidRPr="00A456C6" w:rsidRDefault="00703C3E" w:rsidP="00703C3E">
      <w:pPr>
        <w:pStyle w:val="PBParagraph"/>
        <w:numPr>
          <w:ilvl w:val="0"/>
          <w:numId w:val="0"/>
        </w:numPr>
        <w:ind w:left="1134"/>
      </w:pPr>
    </w:p>
    <w:p w14:paraId="127F458D" w14:textId="611A5C19" w:rsidR="00703C3E" w:rsidRDefault="00703C3E" w:rsidP="00703C3E">
      <w:pPr>
        <w:pStyle w:val="PBParagraph"/>
        <w:numPr>
          <w:ilvl w:val="0"/>
          <w:numId w:val="0"/>
        </w:numPr>
        <w:ind w:left="1134"/>
      </w:pPr>
      <w:r>
        <w:rPr>
          <w:rFonts w:eastAsia="SimSun" w:cstheme="minorHAns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r>
        <w:rPr>
          <w:rFonts w:eastAsia="SimSun" w:cstheme="minorHAnsi"/>
        </w:rPr>
        <w:instrText xml:space="preserve"> FORMCHECKBOX </w:instrText>
      </w:r>
      <w:r w:rsidR="00000000">
        <w:rPr>
          <w:rFonts w:eastAsia="SimSun" w:cstheme="minorHAnsi"/>
        </w:rPr>
      </w:r>
      <w:r w:rsidR="00000000">
        <w:rPr>
          <w:rFonts w:eastAsia="SimSun" w:cstheme="minorHAnsi"/>
        </w:rPr>
        <w:fldChar w:fldCharType="separate"/>
      </w:r>
      <w:r>
        <w:rPr>
          <w:rFonts w:eastAsia="SimSun" w:cstheme="minorHAnsi"/>
        </w:rPr>
        <w:fldChar w:fldCharType="end"/>
      </w:r>
      <w:r>
        <w:tab/>
        <w:t>A déjà été mise en œuvre. Veuillez expliquer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35EE26F5" w14:textId="77777777" w:rsidTr="00371AF9">
        <w:tc>
          <w:tcPr>
            <w:tcW w:w="8165" w:type="dxa"/>
          </w:tcPr>
          <w:p w14:paraId="379BF7D5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  <w:rPr>
                <w:rFonts w:cstheme="minorHAnsi"/>
                <w:color w:val="0069B4"/>
              </w:r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  <w:p w14:paraId="757F7666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</w:p>
        </w:tc>
      </w:tr>
    </w:tbl>
    <w:p w14:paraId="56421B86" w14:textId="77777777" w:rsidR="00362DFD" w:rsidRPr="00A456C6" w:rsidRDefault="00362DFD" w:rsidP="00703C3E">
      <w:pPr>
        <w:pStyle w:val="PBParagraph"/>
        <w:numPr>
          <w:ilvl w:val="0"/>
          <w:numId w:val="0"/>
        </w:numPr>
        <w:ind w:left="1134"/>
      </w:pPr>
    </w:p>
    <w:p w14:paraId="0ED3735C" w14:textId="5047BB72" w:rsidR="00703C3E" w:rsidRPr="00A456C6" w:rsidRDefault="00703C3E" w:rsidP="00703C3E">
      <w:pPr>
        <w:pStyle w:val="PBParagraph"/>
        <w:numPr>
          <w:ilvl w:val="1"/>
          <w:numId w:val="3"/>
        </w:numPr>
      </w:pPr>
      <w:r>
        <w:t xml:space="preserve">Tout autre développement dans votre État, y compris les solutions bilatérales mises en place entre États et les essais en cours entre États </w:t>
      </w:r>
      <w:r w:rsidR="003A307E">
        <w:t>–</w:t>
      </w:r>
      <w:r>
        <w:t xml:space="preserve"> en particulier en ce qui concerne le service </w:t>
      </w:r>
      <w:r>
        <w:rPr>
          <w:i/>
          <w:iCs/>
        </w:rPr>
        <w:lastRenderedPageBreak/>
        <w:t>Central Authority Payment</w:t>
      </w:r>
      <w:r>
        <w:t xml:space="preserve"> (CAP) des États-Unis d</w:t>
      </w:r>
      <w:r w:rsidR="00780344">
        <w:t>’</w:t>
      </w:r>
      <w:r>
        <w:t>Amérique (voir para. 45 et 46 de l</w:t>
      </w:r>
      <w:r w:rsidR="00780344">
        <w:t>’</w:t>
      </w:r>
      <w:r>
        <w:t>aide-mémoire de 2023) :</w:t>
      </w:r>
    </w:p>
    <w:tbl>
      <w:tblPr>
        <w:tblStyle w:val="TableGrid"/>
        <w:tblW w:w="816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5"/>
      </w:tblGrid>
      <w:tr w:rsidR="00703C3E" w14:paraId="72643AB8" w14:textId="77777777" w:rsidTr="00371AF9">
        <w:tc>
          <w:tcPr>
            <w:tcW w:w="9628" w:type="dxa"/>
          </w:tcPr>
          <w:p w14:paraId="60FD59A0" w14:textId="77777777" w:rsidR="00703C3E" w:rsidRDefault="00703C3E" w:rsidP="00371AF9">
            <w:pPr>
              <w:pStyle w:val="PBParagraph"/>
              <w:numPr>
                <w:ilvl w:val="0"/>
                <w:numId w:val="0"/>
              </w:numPr>
            </w:pPr>
            <w:r>
              <w:rPr>
                <w:rFonts w:cstheme="minorHAnsi"/>
                <w:color w:val="0069B4"/>
              </w:rPr>
              <w:fldChar w:fldCharType="begin" w:fldLock="1">
                <w:ffData>
                  <w:name w:val=""/>
                  <w:enabled/>
                  <w:calcOnExit w:val="0"/>
                  <w:textInput>
                    <w:default w:val="Veuillez saisir les informations demandées ici"/>
                  </w:textInput>
                </w:ffData>
              </w:fldChar>
            </w:r>
            <w:r>
              <w:rPr>
                <w:rFonts w:cstheme="minorHAnsi"/>
                <w:color w:val="0069B4"/>
              </w:rPr>
              <w:instrText xml:space="preserve"> FORMTEXT </w:instrText>
            </w:r>
            <w:r>
              <w:rPr>
                <w:rFonts w:cstheme="minorHAnsi"/>
                <w:color w:val="0069B4"/>
              </w:rPr>
            </w:r>
            <w:r>
              <w:rPr>
                <w:rFonts w:cstheme="minorHAnsi"/>
                <w:color w:val="0069B4"/>
              </w:rPr>
              <w:fldChar w:fldCharType="separate"/>
            </w:r>
            <w:r>
              <w:rPr>
                <w:color w:val="0069B4"/>
              </w:rPr>
              <w:t>Veuillez saisir les informations demandées ici</w:t>
            </w:r>
            <w:r>
              <w:rPr>
                <w:rFonts w:cstheme="minorHAnsi"/>
                <w:color w:val="0069B4"/>
              </w:rPr>
              <w:fldChar w:fldCharType="end"/>
            </w:r>
          </w:p>
        </w:tc>
      </w:tr>
    </w:tbl>
    <w:p w14:paraId="0A2D9EC1" w14:textId="77777777" w:rsidR="00703C3E" w:rsidRDefault="00703C3E" w:rsidP="00703C3E">
      <w:pPr>
        <w:pStyle w:val="PBParagraph"/>
        <w:numPr>
          <w:ilvl w:val="0"/>
          <w:numId w:val="0"/>
        </w:numPr>
        <w:ind w:left="567" w:hanging="567"/>
      </w:pPr>
    </w:p>
    <w:p w14:paraId="413715ED" w14:textId="69E248FF" w:rsidR="00853B04" w:rsidRPr="00853B04" w:rsidRDefault="00703C3E" w:rsidP="003A307E">
      <w:pPr>
        <w:pStyle w:val="PBParagraph"/>
        <w:numPr>
          <w:ilvl w:val="0"/>
          <w:numId w:val="0"/>
        </w:numPr>
        <w:ind w:left="567" w:hanging="567"/>
        <w:jc w:val="center"/>
      </w:pPr>
      <w:r>
        <w:t>Nous vous remercions d</w:t>
      </w:r>
      <w:r w:rsidR="00780344">
        <w:t>’</w:t>
      </w:r>
      <w:r>
        <w:t xml:space="preserve">avoir pris le temps de remplir ce </w:t>
      </w:r>
      <w:r w:rsidR="00490C9A">
        <w:t>q</w:t>
      </w:r>
      <w:r w:rsidR="00612185">
        <w:t>u</w:t>
      </w:r>
      <w:r>
        <w:t>estionnaire</w:t>
      </w:r>
      <w:bookmarkEnd w:id="0"/>
      <w:bookmarkEnd w:id="1"/>
      <w:bookmarkEnd w:id="2"/>
      <w:r w:rsidR="003A307E">
        <w:t>.</w:t>
      </w:r>
    </w:p>
    <w:sectPr w:rsidR="00853B04" w:rsidRPr="00853B04" w:rsidSect="009F3507">
      <w:headerReference w:type="default" r:id="rId21"/>
      <w:footerReference w:type="default" r:id="rId22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70A8C4" w14:textId="77777777" w:rsidR="00D61856" w:rsidRDefault="00D61856" w:rsidP="00037583">
      <w:pPr>
        <w:spacing w:after="0" w:line="240" w:lineRule="auto"/>
      </w:pPr>
      <w:r>
        <w:separator/>
      </w:r>
    </w:p>
  </w:endnote>
  <w:endnote w:type="continuationSeparator" w:id="0">
    <w:p w14:paraId="226F4435" w14:textId="77777777" w:rsidR="00D61856" w:rsidRDefault="00D61856" w:rsidP="00037583">
      <w:pPr>
        <w:spacing w:after="0" w:line="240" w:lineRule="auto"/>
      </w:pPr>
      <w:r>
        <w:continuationSeparator/>
      </w:r>
    </w:p>
  </w:endnote>
  <w:endnote w:type="continuationNotice" w:id="1">
    <w:p w14:paraId="6CDE6C1C" w14:textId="77777777" w:rsidR="00D61856" w:rsidRDefault="00D6185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" w:fontKey="{356EA327-BECC-4E8D-B50D-B3A0925A8A5F}"/>
    <w:embedBold r:id="rId2" w:fontKey="{6A06D6AE-C2D0-48D4-BE1C-470A844D1D55}"/>
    <w:embedItalic r:id="rId3" w:fontKey="{9A7576DD-C548-4626-BA3B-2568494CFF6A}"/>
    <w:embedBoldItalic r:id="rId4" w:fontKey="{ACC39BD4-D511-4D6D-B72C-8727128B73BE}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5" w:fontKey="{C9584DD2-B125-4749-BF7D-EE1A668491A2}"/>
    <w:embedBold r:id="rId6" w:fontKey="{F535B494-3A9F-4662-9A4A-62AABDF95427}"/>
    <w:embedItalic r:id="rId7" w:fontKey="{99E7A391-364C-4DCF-8456-3DA96D46A4E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C1BB7E4-2C9B-416C-9EF1-7E6E7FB664D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9" w:subsetted="1" w:fontKey="{53078DE8-BD74-4707-9247-5BBD90310C20}"/>
  </w:font>
  <w:font w:name="ZWAdobeF">
    <w:altName w:val="Calibri"/>
    <w:panose1 w:val="00000000000000000000"/>
    <w:charset w:val="00"/>
    <w:family w:val="auto"/>
    <w:pitch w:val="variable"/>
    <w:sig w:usb0="20002A87" w:usb1="00000000" w:usb2="00000000" w:usb3="00000000" w:csb0="000001FF" w:csb1="00000000"/>
    <w:embedRegular r:id="rId10" w:fontKey="{13DB2083-17BA-4D2C-813A-4DD352CEB13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7E7381" w14:textId="77777777" w:rsidR="00B10B14" w:rsidRDefault="00B10B1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5097"/>
      <w:gridCol w:w="5097"/>
    </w:tblGrid>
    <w:tr w:rsidR="008737C6" w:rsidRPr="00553118" w14:paraId="5E5ACA2B" w14:textId="77777777" w:rsidTr="008737C6">
      <w:tc>
        <w:tcPr>
          <w:tcW w:w="5097" w:type="dxa"/>
          <w:vAlign w:val="center"/>
        </w:tcPr>
        <w:p w14:paraId="3D8EF8E1" w14:textId="0F5A340C" w:rsidR="008737C6" w:rsidRPr="0023033E" w:rsidRDefault="008737C6" w:rsidP="008737C6">
          <w:pPr>
            <w:pStyle w:val="Footer"/>
            <w:spacing w:after="40"/>
            <w:jc w:val="right"/>
            <w:rPr>
              <w:color w:val="024987" w:themeColor="accent3"/>
              <w:sz w:val="20"/>
              <w:szCs w:val="20"/>
            </w:rPr>
          </w:pPr>
          <w:r>
            <w:rPr>
              <w:b/>
              <w:color w:val="024987" w:themeColor="accent3"/>
              <w:sz w:val="24"/>
            </w:rPr>
            <w:t>H</w:t>
          </w:r>
          <w:r>
            <w:rPr>
              <w:color w:val="024987" w:themeColor="accent3"/>
              <w:sz w:val="20"/>
            </w:rPr>
            <w:t xml:space="preserve">ague </w:t>
          </w:r>
          <w:r>
            <w:rPr>
              <w:b/>
              <w:color w:val="024987" w:themeColor="accent3"/>
              <w:sz w:val="24"/>
            </w:rPr>
            <w:t>C</w:t>
          </w:r>
          <w:r>
            <w:rPr>
              <w:color w:val="024987" w:themeColor="accent3"/>
              <w:sz w:val="20"/>
            </w:rPr>
            <w:t xml:space="preserve">onference on Private International Law </w:t>
          </w:r>
        </w:p>
      </w:tc>
      <w:tc>
        <w:tcPr>
          <w:tcW w:w="5097" w:type="dxa"/>
          <w:vAlign w:val="center"/>
        </w:tcPr>
        <w:p w14:paraId="7D952935" w14:textId="128B6723" w:rsidR="008737C6" w:rsidRPr="0023033E" w:rsidRDefault="008737C6" w:rsidP="008737C6">
          <w:pPr>
            <w:pStyle w:val="Footer"/>
            <w:spacing w:after="40"/>
            <w:jc w:val="left"/>
            <w:rPr>
              <w:color w:val="024987" w:themeColor="accent3"/>
              <w:sz w:val="20"/>
              <w:szCs w:val="20"/>
            </w:rPr>
          </w:pPr>
          <w:r>
            <w:rPr>
              <w:b/>
              <w:color w:val="024987" w:themeColor="accent3"/>
              <w:sz w:val="24"/>
            </w:rPr>
            <w:t>C</w:t>
          </w:r>
          <w:r>
            <w:rPr>
              <w:color w:val="024987" w:themeColor="accent3"/>
              <w:sz w:val="20"/>
            </w:rPr>
            <w:t xml:space="preserve">onférence de La </w:t>
          </w:r>
          <w:r>
            <w:rPr>
              <w:b/>
              <w:color w:val="024987" w:themeColor="accent3"/>
              <w:sz w:val="24"/>
            </w:rPr>
            <w:t>H</w:t>
          </w:r>
          <w:r>
            <w:rPr>
              <w:color w:val="024987" w:themeColor="accent3"/>
              <w:sz w:val="20"/>
            </w:rPr>
            <w:t>aye de droit international privé</w:t>
          </w:r>
        </w:p>
      </w:tc>
    </w:tr>
    <w:tr w:rsidR="00160340" w:rsidRPr="00C77740" w14:paraId="3550DC86" w14:textId="77777777" w:rsidTr="008737C6">
      <w:tc>
        <w:tcPr>
          <w:tcW w:w="5097" w:type="dxa"/>
          <w:vAlign w:val="center"/>
        </w:tcPr>
        <w:p w14:paraId="5C0AAD75" w14:textId="3EDB741F" w:rsidR="00160340" w:rsidRPr="00C77740" w:rsidRDefault="00000000" w:rsidP="008737C6">
          <w:pPr>
            <w:pStyle w:val="Footer"/>
            <w:spacing w:after="40"/>
            <w:jc w:val="right"/>
            <w:rPr>
              <w:color w:val="024987" w:themeColor="accent3"/>
              <w:sz w:val="16"/>
              <w:szCs w:val="16"/>
            </w:rPr>
          </w:pPr>
          <w:hyperlink r:id="rId1" w:history="1">
            <w:r w:rsidR="00A17ADA">
              <w:rPr>
                <w:rStyle w:val="Hyperlink"/>
                <w:color w:val="024987" w:themeColor="accent3"/>
                <w:sz w:val="16"/>
              </w:rPr>
              <w:t>secretariat@hcch.net</w:t>
            </w:r>
          </w:hyperlink>
        </w:p>
      </w:tc>
      <w:tc>
        <w:tcPr>
          <w:tcW w:w="5097" w:type="dxa"/>
          <w:vAlign w:val="center"/>
        </w:tcPr>
        <w:p w14:paraId="20AD598B" w14:textId="7D14A718" w:rsidR="00160340" w:rsidRPr="00C77740" w:rsidRDefault="00000000" w:rsidP="008737C6">
          <w:pPr>
            <w:pStyle w:val="Footer"/>
            <w:spacing w:after="40"/>
            <w:jc w:val="left"/>
            <w:rPr>
              <w:color w:val="024987" w:themeColor="accent3"/>
              <w:sz w:val="16"/>
              <w:szCs w:val="16"/>
            </w:rPr>
          </w:pPr>
          <w:hyperlink r:id="rId2" w:history="1">
            <w:r w:rsidR="00A17ADA">
              <w:rPr>
                <w:rStyle w:val="Hyperlink"/>
                <w:color w:val="024987" w:themeColor="accent3"/>
                <w:sz w:val="16"/>
              </w:rPr>
              <w:t>www.hcch.net</w:t>
            </w:r>
          </w:hyperlink>
        </w:p>
      </w:tc>
    </w:tr>
    <w:tr w:rsidR="00160340" w:rsidRPr="00553118" w14:paraId="46D53352" w14:textId="77777777" w:rsidTr="008737C6">
      <w:tc>
        <w:tcPr>
          <w:tcW w:w="5097" w:type="dxa"/>
          <w:vAlign w:val="center"/>
        </w:tcPr>
        <w:p w14:paraId="7A28CEE7" w14:textId="52BB4D7B" w:rsidR="00160340" w:rsidRPr="002A1050" w:rsidRDefault="00160340" w:rsidP="008737C6">
          <w:pPr>
            <w:pStyle w:val="Footer"/>
            <w:spacing w:after="40"/>
            <w:jc w:val="right"/>
            <w:rPr>
              <w:color w:val="024987" w:themeColor="accent3"/>
              <w:sz w:val="16"/>
              <w:szCs w:val="16"/>
              <w:lang w:val="en-US"/>
            </w:rPr>
          </w:pPr>
          <w:r w:rsidRPr="002A1050">
            <w:rPr>
              <w:color w:val="024987" w:themeColor="accent3"/>
              <w:sz w:val="16"/>
              <w:lang w:val="en-US"/>
            </w:rPr>
            <w:t>Regional Office for Asia and the Pacific (ROAP)</w:t>
          </w:r>
        </w:p>
      </w:tc>
      <w:tc>
        <w:tcPr>
          <w:tcW w:w="5097" w:type="dxa"/>
          <w:vAlign w:val="center"/>
        </w:tcPr>
        <w:p w14:paraId="0A96660A" w14:textId="01767F73" w:rsidR="00160340" w:rsidRPr="00C77740" w:rsidRDefault="00160340" w:rsidP="008737C6">
          <w:pPr>
            <w:pStyle w:val="Footer"/>
            <w:spacing w:after="40"/>
            <w:jc w:val="left"/>
            <w:rPr>
              <w:color w:val="024987" w:themeColor="accent3"/>
              <w:sz w:val="16"/>
              <w:szCs w:val="16"/>
            </w:rPr>
          </w:pPr>
          <w:r>
            <w:rPr>
              <w:color w:val="024987" w:themeColor="accent3"/>
              <w:sz w:val="16"/>
            </w:rPr>
            <w:t>Bureau régional pour l’Asie et le Pacifique (BRAP)</w:t>
          </w:r>
        </w:p>
      </w:tc>
    </w:tr>
    <w:tr w:rsidR="00160340" w:rsidRPr="00553118" w14:paraId="6E6FBBE9" w14:textId="77777777" w:rsidTr="008737C6">
      <w:tc>
        <w:tcPr>
          <w:tcW w:w="5097" w:type="dxa"/>
          <w:vAlign w:val="center"/>
        </w:tcPr>
        <w:p w14:paraId="7C1EB8A3" w14:textId="08A9936D" w:rsidR="00160340" w:rsidRPr="002A1050" w:rsidRDefault="00160340" w:rsidP="008737C6">
          <w:pPr>
            <w:pStyle w:val="Footer"/>
            <w:spacing w:after="40"/>
            <w:jc w:val="right"/>
            <w:rPr>
              <w:color w:val="024987" w:themeColor="accent3"/>
              <w:sz w:val="16"/>
              <w:szCs w:val="16"/>
              <w:lang w:val="en-US"/>
            </w:rPr>
          </w:pPr>
          <w:r w:rsidRPr="002A1050">
            <w:rPr>
              <w:color w:val="024987" w:themeColor="accent3"/>
              <w:sz w:val="16"/>
              <w:lang w:val="en-US"/>
            </w:rPr>
            <w:t>Regional Office for Latin America and the Caribbean (ROLAC)</w:t>
          </w:r>
        </w:p>
      </w:tc>
      <w:tc>
        <w:tcPr>
          <w:tcW w:w="5097" w:type="dxa"/>
          <w:vAlign w:val="center"/>
        </w:tcPr>
        <w:p w14:paraId="419E3BFA" w14:textId="5C4B4041" w:rsidR="00160340" w:rsidRPr="00C77740" w:rsidRDefault="00160340" w:rsidP="008737C6">
          <w:pPr>
            <w:pStyle w:val="Footer"/>
            <w:spacing w:after="40"/>
            <w:jc w:val="left"/>
            <w:rPr>
              <w:color w:val="024987" w:themeColor="accent3"/>
              <w:sz w:val="16"/>
              <w:szCs w:val="16"/>
            </w:rPr>
          </w:pPr>
          <w:r>
            <w:rPr>
              <w:color w:val="024987" w:themeColor="accent3"/>
              <w:sz w:val="16"/>
            </w:rPr>
            <w:t>Bureau régional pour l’Amérique latine et les Caraïbes (BRALC)</w:t>
          </w:r>
        </w:p>
      </w:tc>
    </w:tr>
  </w:tbl>
  <w:p w14:paraId="59684F43" w14:textId="77777777" w:rsidR="00160340" w:rsidRPr="0023033E" w:rsidRDefault="00160340" w:rsidP="005C2BE8">
    <w:pPr>
      <w:pStyle w:val="Footer"/>
      <w:spacing w:after="40"/>
      <w:jc w:val="center"/>
      <w:rPr>
        <w:color w:val="04549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11A6AF" w14:textId="77777777" w:rsidR="00B10B14" w:rsidRDefault="00B10B14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F3C4FE" w14:textId="77777777" w:rsidR="00B37C70" w:rsidRPr="00AA2D19" w:rsidRDefault="00B37C70" w:rsidP="00B74EFA">
    <w:pPr>
      <w:pStyle w:val="Header"/>
      <w:tabs>
        <w:tab w:val="clear" w:pos="4513"/>
        <w:tab w:val="clear" w:pos="9026"/>
      </w:tabs>
      <w:jc w:val="right"/>
      <w:rPr>
        <w:color w:val="A2B93B" w:themeColor="accent6"/>
        <w:sz w:val="18"/>
        <w:szCs w:val="18"/>
      </w:rPr>
    </w:pPr>
    <w:r w:rsidRPr="00AA2D19">
      <w:rPr>
        <w:color w:val="A2B93B" w:themeColor="accent6"/>
        <w:sz w:val="18"/>
      </w:rPr>
      <w:fldChar w:fldCharType="begin"/>
    </w:r>
    <w:r w:rsidRPr="00AA2D19">
      <w:rPr>
        <w:color w:val="A2B93B" w:themeColor="accent6"/>
        <w:sz w:val="18"/>
      </w:rPr>
      <w:instrText xml:space="preserve"> PAGE   \* MERGEFORMAT </w:instrText>
    </w:r>
    <w:r w:rsidRPr="00AA2D19">
      <w:rPr>
        <w:color w:val="A2B93B" w:themeColor="accent6"/>
        <w:sz w:val="18"/>
      </w:rPr>
      <w:fldChar w:fldCharType="separate"/>
    </w:r>
    <w:r w:rsidRPr="00AA2D19">
      <w:rPr>
        <w:color w:val="A2B93B" w:themeColor="accent6"/>
        <w:sz w:val="18"/>
      </w:rPr>
      <w:t>2</w:t>
    </w:r>
    <w:r w:rsidRPr="00AA2D19">
      <w:rPr>
        <w:color w:val="A2B93B" w:themeColor="accent6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A09C61" w14:textId="77777777" w:rsidR="00D61856" w:rsidRPr="009701D2" w:rsidRDefault="00D61856" w:rsidP="00B74EFA">
      <w:pPr>
        <w:spacing w:after="120" w:line="240" w:lineRule="auto"/>
        <w:rPr>
          <w:color w:val="A2B93B" w:themeColor="accent6"/>
        </w:rPr>
      </w:pPr>
      <w:r w:rsidRPr="009701D2">
        <w:rPr>
          <w:color w:val="A2B93B" w:themeColor="accent6"/>
        </w:rPr>
        <w:separator/>
      </w:r>
    </w:p>
  </w:footnote>
  <w:footnote w:type="continuationSeparator" w:id="0">
    <w:p w14:paraId="2445D511" w14:textId="77777777" w:rsidR="00D61856" w:rsidRDefault="00D61856" w:rsidP="00037583">
      <w:pPr>
        <w:spacing w:after="0" w:line="240" w:lineRule="auto"/>
      </w:pPr>
      <w:r>
        <w:continuationSeparator/>
      </w:r>
    </w:p>
  </w:footnote>
  <w:footnote w:type="continuationNotice" w:id="1">
    <w:p w14:paraId="2AC52E4F" w14:textId="77777777" w:rsidR="00D61856" w:rsidRDefault="00D61856">
      <w:pPr>
        <w:spacing w:after="0" w:line="240" w:lineRule="auto"/>
      </w:pPr>
    </w:p>
  </w:footnote>
  <w:footnote w:id="2">
    <w:p w14:paraId="2422EDB2" w14:textId="48DA2B01" w:rsidR="00703C3E" w:rsidRDefault="00703C3E" w:rsidP="00703C3E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>
        <w:tab/>
        <w:t>« </w:t>
      </w:r>
      <w:r w:rsidR="00D27C9D">
        <w:t>Rapport de la réunion du Groupe d’experts du 13 au 15 février 2023 sur les transferts internationaux d’aliments</w:t>
      </w:r>
      <w:r>
        <w:t xml:space="preserve"> », </w:t>
      </w:r>
      <w:r w:rsidR="00DA38CE">
        <w:t xml:space="preserve">Doc. </w:t>
      </w:r>
      <w:proofErr w:type="gramStart"/>
      <w:r w:rsidR="00DA38CE">
        <w:t>prél</w:t>
      </w:r>
      <w:proofErr w:type="gramEnd"/>
      <w:r w:rsidR="00DA38CE">
        <w:t>. No 7E de février 2023 à l’attention du CAGP de 2023,</w:t>
      </w:r>
      <w:r w:rsidR="0044716D">
        <w:t xml:space="preserve"> </w:t>
      </w:r>
      <w:r>
        <w:t xml:space="preserve">disponible </w:t>
      </w:r>
      <w:r w:rsidR="00EE74F6">
        <w:t>sur le site web de la HCCH (</w:t>
      </w:r>
      <w:hyperlink r:id="rId1" w:history="1">
        <w:r>
          <w:rPr>
            <w:rStyle w:val="Hyperlink"/>
          </w:rPr>
          <w:t>www.hcch.net</w:t>
        </w:r>
      </w:hyperlink>
      <w:r w:rsidR="00EE74F6">
        <w:t xml:space="preserve">) </w:t>
      </w:r>
      <w:r>
        <w:t>sur l’Espace Gouvernance, puis sous la rubrique « Conseil sur les affaires générales et la politique ».</w:t>
      </w:r>
    </w:p>
  </w:footnote>
  <w:footnote w:id="3">
    <w:p w14:paraId="6B0586B3" w14:textId="3B19F892" w:rsidR="00703C3E" w:rsidRPr="00045A85" w:rsidRDefault="00703C3E" w:rsidP="00703C3E">
      <w:pPr>
        <w:pStyle w:val="FootnoteText"/>
        <w:rPr>
          <w:rFonts w:cstheme="minorHAnsi"/>
          <w:szCs w:val="18"/>
        </w:rPr>
      </w:pPr>
      <w:r>
        <w:t>[</w:t>
      </w:r>
      <w:r>
        <w:rPr>
          <w:rStyle w:val="FootnoteReference"/>
        </w:rPr>
        <w:t>1]</w:t>
      </w:r>
      <w:r>
        <w:t xml:space="preserve"> </w:t>
      </w:r>
      <w:r>
        <w:tab/>
        <w:t xml:space="preserve">Dans le présent </w:t>
      </w:r>
      <w:r w:rsidR="001453C7">
        <w:t>q</w:t>
      </w:r>
      <w:r>
        <w:t>uestionnaire, les références au terme « État », le cas échéant, doivent être considérées comme s’appliquant également à une unité territoriale.</w:t>
      </w:r>
    </w:p>
  </w:footnote>
  <w:footnote w:id="4">
    <w:p w14:paraId="2FDD2C5D" w14:textId="64484CFE" w:rsidR="006F07DB" w:rsidRDefault="006F07DB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>
        <w:tab/>
        <w:t>Voir annexe I</w:t>
      </w:r>
      <w:r w:rsidR="00D27C9D">
        <w:t>, « Rapport de la réunion du Groupe d’experts du 13 au 15 février 2023 sur les transferts internationaux d’aliments »</w:t>
      </w:r>
      <w:r w:rsidR="0044716D">
        <w:t xml:space="preserve">, Doc. </w:t>
      </w:r>
      <w:proofErr w:type="gramStart"/>
      <w:r w:rsidR="0044716D">
        <w:t>prél</w:t>
      </w:r>
      <w:proofErr w:type="gramEnd"/>
      <w:r w:rsidR="0044716D">
        <w:t>. No 7E de février 2023 à l’attention du CAGP de 2023, disponible sur le site web de la HCCH (</w:t>
      </w:r>
      <w:hyperlink r:id="rId2" w:history="1">
        <w:r w:rsidR="0044716D">
          <w:rPr>
            <w:rStyle w:val="Hyperlink"/>
          </w:rPr>
          <w:t>www.hcch.net</w:t>
        </w:r>
      </w:hyperlink>
      <w:r w:rsidR="0044716D">
        <w:t>) sur l’Espace Gouvernance, puis sous la rubrique « Conseil sur les affaires générales et la politique ».</w:t>
      </w:r>
    </w:p>
  </w:footnote>
  <w:footnote w:id="5">
    <w:p w14:paraId="3A3C917F" w14:textId="51471A82" w:rsidR="00782F12" w:rsidRDefault="00782F12">
      <w:pPr>
        <w:pStyle w:val="FootnoteText"/>
      </w:pPr>
      <w:r>
        <w:rPr>
          <w:rStyle w:val="FootnoteReference"/>
        </w:rPr>
        <w:footnoteRef/>
      </w:r>
      <w:r>
        <w:tab/>
        <w:t xml:space="preserve">Voir annexe II, </w:t>
      </w:r>
      <w:r>
        <w:rPr>
          <w:i/>
          <w:iCs/>
        </w:rPr>
        <w:t>ibid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295EA" w14:textId="77777777" w:rsidR="00B10B14" w:rsidRDefault="00B10B1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97"/>
      <w:gridCol w:w="5097"/>
    </w:tblGrid>
    <w:tr w:rsidR="00430BD2" w:rsidRPr="002A1050" w14:paraId="766D5185" w14:textId="77777777" w:rsidTr="6A94DD8E">
      <w:tc>
        <w:tcPr>
          <w:tcW w:w="5097" w:type="dxa"/>
          <w:vAlign w:val="bottom"/>
        </w:tcPr>
        <w:p w14:paraId="3E14F467" w14:textId="1CCE505A" w:rsidR="00430BD2" w:rsidRPr="002A1050" w:rsidRDefault="009A101C" w:rsidP="00D36123">
          <w:pPr>
            <w:pStyle w:val="Header"/>
            <w:tabs>
              <w:tab w:val="clear" w:pos="4513"/>
              <w:tab w:val="clear" w:pos="9026"/>
            </w:tabs>
            <w:spacing w:before="160"/>
            <w:rPr>
              <w:rFonts w:cstheme="minorHAnsi"/>
              <w:b/>
              <w:bCs/>
              <w:caps/>
              <w:color w:val="03295A" w:themeColor="accent4"/>
              <w:sz w:val="20"/>
              <w:szCs w:val="20"/>
              <w:lang w:val="fr-CA"/>
            </w:rPr>
          </w:pPr>
          <w:r w:rsidRPr="002A1050">
            <w:rPr>
              <w:b/>
              <w:caps/>
              <w:color w:val="03295A" w:themeColor="accent4"/>
              <w:lang w:val="fr-CA"/>
            </w:rPr>
            <w:t>CAGP 2024</w:t>
          </w:r>
        </w:p>
        <w:p w14:paraId="19D29BA4" w14:textId="31ED49E0" w:rsidR="0018385A" w:rsidRPr="002A1050" w:rsidRDefault="005633FD" w:rsidP="00D36123">
          <w:pPr>
            <w:pStyle w:val="Header"/>
            <w:tabs>
              <w:tab w:val="clear" w:pos="4513"/>
              <w:tab w:val="clear" w:pos="9026"/>
            </w:tabs>
            <w:spacing w:before="160"/>
            <w:rPr>
              <w:rFonts w:cstheme="minorHAnsi"/>
              <w:b/>
              <w:bCs/>
              <w:caps/>
              <w:color w:val="03295A" w:themeColor="accent4"/>
              <w:sz w:val="20"/>
              <w:szCs w:val="20"/>
              <w:lang w:val="fr-CA"/>
            </w:rPr>
          </w:pPr>
          <w:r w:rsidRPr="002A1050">
            <w:rPr>
              <w:b/>
              <w:caps/>
              <w:color w:val="03295A" w:themeColor="accent4"/>
              <w:sz w:val="20"/>
              <w:lang w:val="fr-CA"/>
            </w:rPr>
            <w:t>Mars 2024</w:t>
          </w:r>
        </w:p>
        <w:p w14:paraId="515A75A3" w14:textId="072C2255" w:rsidR="00787BBD" w:rsidRPr="002A1050" w:rsidRDefault="00B65E01" w:rsidP="00D36123">
          <w:pPr>
            <w:pStyle w:val="Header"/>
            <w:tabs>
              <w:tab w:val="clear" w:pos="4513"/>
              <w:tab w:val="clear" w:pos="9026"/>
            </w:tabs>
            <w:spacing w:before="160"/>
            <w:rPr>
              <w:rFonts w:cstheme="minorHAnsi"/>
              <w:b/>
              <w:bCs/>
              <w:caps/>
              <w:color w:val="03295A" w:themeColor="accent4"/>
              <w:sz w:val="20"/>
              <w:szCs w:val="20"/>
              <w:lang w:val="fr-CA"/>
            </w:rPr>
          </w:pPr>
          <w:r w:rsidRPr="002A1050">
            <w:rPr>
              <w:b/>
              <w:caps/>
              <w:color w:val="03295A" w:themeColor="accent4"/>
              <w:sz w:val="20"/>
              <w:lang w:val="fr-CA"/>
            </w:rPr>
            <w:t>Doc. Prél. No 1</w:t>
          </w:r>
          <w:r w:rsidR="002A1050" w:rsidRPr="002A1050">
            <w:rPr>
              <w:b/>
              <w:caps/>
              <w:color w:val="03295A" w:themeColor="accent4"/>
              <w:sz w:val="20"/>
              <w:lang w:val="fr-CA"/>
            </w:rPr>
            <w:t>1</w:t>
          </w:r>
          <w:r w:rsidR="002A1050">
            <w:rPr>
              <w:b/>
              <w:caps/>
              <w:color w:val="03295A" w:themeColor="accent4"/>
              <w:sz w:val="20"/>
              <w:lang w:val="fr-CA"/>
            </w:rPr>
            <w:t>A</w:t>
          </w:r>
        </w:p>
      </w:tc>
      <w:tc>
        <w:tcPr>
          <w:tcW w:w="5097" w:type="dxa"/>
          <w:vAlign w:val="bottom"/>
        </w:tcPr>
        <w:p w14:paraId="165FDB50" w14:textId="4FE909E1" w:rsidR="00430BD2" w:rsidRPr="002A1050" w:rsidRDefault="6A94DD8E" w:rsidP="006142F8">
          <w:pPr>
            <w:pStyle w:val="Header"/>
            <w:tabs>
              <w:tab w:val="clear" w:pos="4513"/>
              <w:tab w:val="clear" w:pos="9026"/>
            </w:tabs>
            <w:jc w:val="right"/>
            <w:rPr>
              <w:lang w:val="fr-CA"/>
            </w:rPr>
          </w:pPr>
          <w:r w:rsidRPr="002A1050">
            <w:rPr>
              <w:noProof/>
              <w:lang w:val="fr-CA"/>
            </w:rPr>
            <w:drawing>
              <wp:inline distT="0" distB="0" distL="0" distR="0" wp14:anchorId="26A38956" wp14:editId="44724E18">
                <wp:extent cx="1925714" cy="900000"/>
                <wp:effectExtent l="0" t="0" r="0" b="0"/>
                <wp:docPr id="4" name="Pictur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25714" cy="90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2E2BF14B" w14:textId="68C75FFC" w:rsidR="00160340" w:rsidRPr="002A1050" w:rsidRDefault="00160340" w:rsidP="00430BD2">
    <w:pPr>
      <w:pStyle w:val="Header"/>
      <w:tabs>
        <w:tab w:val="clear" w:pos="4513"/>
        <w:tab w:val="clear" w:pos="9026"/>
      </w:tabs>
      <w:rPr>
        <w:lang w:val="fr-C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174FCB" w14:textId="77777777" w:rsidR="00B10B14" w:rsidRDefault="00B10B14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0A3784" w14:textId="283B1426" w:rsidR="00B37C70" w:rsidRPr="00E21F9B" w:rsidRDefault="00C364F1" w:rsidP="009F3507">
    <w:pPr>
      <w:rPr>
        <w:lang w:val="fr-CA"/>
      </w:rPr>
    </w:pPr>
    <w:r w:rsidRPr="00E21F9B">
      <w:rPr>
        <w:color w:val="A2B93B" w:themeColor="accent6"/>
        <w:sz w:val="18"/>
        <w:lang w:val="fr-CA"/>
      </w:rPr>
      <w:t xml:space="preserve">Doc. </w:t>
    </w:r>
    <w:proofErr w:type="gramStart"/>
    <w:r w:rsidRPr="00E21F9B">
      <w:rPr>
        <w:color w:val="A2B93B" w:themeColor="accent6"/>
        <w:sz w:val="18"/>
        <w:lang w:val="fr-CA"/>
      </w:rPr>
      <w:t>prél</w:t>
    </w:r>
    <w:proofErr w:type="gramEnd"/>
    <w:r w:rsidRPr="00E21F9B">
      <w:rPr>
        <w:color w:val="A2B93B" w:themeColor="accent6"/>
        <w:sz w:val="18"/>
        <w:lang w:val="fr-CA"/>
      </w:rPr>
      <w:t>. No 1</w:t>
    </w:r>
    <w:r w:rsidR="00C628D1" w:rsidRPr="00E21F9B">
      <w:rPr>
        <w:color w:val="A2B93B" w:themeColor="accent6"/>
        <w:sz w:val="18"/>
        <w:lang w:val="fr-CA"/>
      </w:rPr>
      <w:t>1</w:t>
    </w:r>
    <w:r w:rsidRPr="00E21F9B">
      <w:rPr>
        <w:color w:val="A2B93B" w:themeColor="accent6"/>
        <w:sz w:val="18"/>
        <w:lang w:val="fr-CA"/>
      </w:rPr>
      <w:t>A de novembre 2023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308192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3421B6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16C9C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688F37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A789C7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D4288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9E6C4B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B90ED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82C1A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2E7CD4C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3EA3B9F"/>
    <w:multiLevelType w:val="hybridMultilevel"/>
    <w:tmpl w:val="179E7C7C"/>
    <w:lvl w:ilvl="0" w:tplc="2C0665F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D60DB5"/>
    <w:multiLevelType w:val="multilevel"/>
    <w:tmpl w:val="FC9CB8E2"/>
    <w:lvl w:ilvl="0">
      <w:start w:val="1"/>
      <w:numFmt w:val="bullet"/>
      <w:pStyle w:val="PBBulletList"/>
      <w:lvlText w:val=""/>
      <w:lvlJc w:val="left"/>
      <w:pPr>
        <w:ind w:left="1134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"/>
      <w:lvlJc w:val="left"/>
      <w:pPr>
        <w:ind w:left="1701" w:hanging="567"/>
      </w:pPr>
      <w:rPr>
        <w:rFonts w:ascii="Symbol" w:hAnsi="Symbol" w:hint="default"/>
        <w:color w:val="auto"/>
      </w:rPr>
    </w:lvl>
    <w:lvl w:ilvl="2">
      <w:start w:val="1"/>
      <w:numFmt w:val="bullet"/>
      <w:lvlText w:val=""/>
      <w:lvlJc w:val="left"/>
      <w:pPr>
        <w:ind w:left="2268" w:hanging="567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 w15:restartNumberingAfterBreak="0">
    <w:nsid w:val="1F2C150F"/>
    <w:multiLevelType w:val="multilevel"/>
    <w:tmpl w:val="0B562C4E"/>
    <w:lvl w:ilvl="0">
      <w:start w:val="1"/>
      <w:numFmt w:val="upperRoman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upperLetter"/>
      <w:lvlRestart w:val="0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Restart w:val="0"/>
      <w:lvlText w:val="%3."/>
      <w:lvlJc w:val="left"/>
      <w:pPr>
        <w:ind w:left="1134" w:hanging="567"/>
      </w:pPr>
      <w:rPr>
        <w:rFonts w:hint="default"/>
      </w:rPr>
    </w:lvl>
    <w:lvl w:ilvl="3">
      <w:start w:val="1"/>
      <w:numFmt w:val="lowerLetter"/>
      <w:lvlRestart w:val="0"/>
      <w:lvlText w:val="%4."/>
      <w:lvlJc w:val="left"/>
      <w:pPr>
        <w:ind w:left="1134" w:hanging="567"/>
      </w:pPr>
      <w:rPr>
        <w:rFonts w:hint="default"/>
        <w:b w:val="0"/>
        <w:i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47931CD4"/>
    <w:multiLevelType w:val="multilevel"/>
    <w:tmpl w:val="84C4F040"/>
    <w:lvl w:ilvl="0">
      <w:start w:val="1"/>
      <w:numFmt w:val="upperRoman"/>
      <w:pStyle w:val="Heading1"/>
      <w:lvlText w:val="%1."/>
      <w:lvlJc w:val="right"/>
      <w:pPr>
        <w:ind w:left="567" w:hanging="567"/>
      </w:pPr>
      <w:rPr>
        <w:rFonts w:hint="default"/>
      </w:rPr>
    </w:lvl>
    <w:lvl w:ilvl="1">
      <w:start w:val="1"/>
      <w:numFmt w:val="upperLetter"/>
      <w:lvlRestart w:val="0"/>
      <w:pStyle w:val="Heading2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Restart w:val="0"/>
      <w:pStyle w:val="Heading3"/>
      <w:lvlText w:val="%3."/>
      <w:lvlJc w:val="left"/>
      <w:pPr>
        <w:ind w:left="1134" w:hanging="567"/>
      </w:pPr>
      <w:rPr>
        <w:rFonts w:hint="default"/>
      </w:rPr>
    </w:lvl>
    <w:lvl w:ilvl="3">
      <w:start w:val="1"/>
      <w:numFmt w:val="lowerLetter"/>
      <w:lvlRestart w:val="0"/>
      <w:pStyle w:val="Heading4"/>
      <w:lvlText w:val="%4."/>
      <w:lvlJc w:val="left"/>
      <w:pPr>
        <w:ind w:left="1134" w:hanging="567"/>
      </w:pPr>
      <w:rPr>
        <w:rFonts w:hint="default"/>
        <w:b w:val="0"/>
        <w:i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4A433E52"/>
    <w:multiLevelType w:val="multilevel"/>
    <w:tmpl w:val="1D12B50E"/>
    <w:lvl w:ilvl="0">
      <w:start w:val="1"/>
      <w:numFmt w:val="decimal"/>
      <w:pStyle w:val="ListParagraph"/>
      <w:lvlText w:val="%1."/>
      <w:lvlJc w:val="left"/>
      <w:pPr>
        <w:ind w:left="1134" w:hanging="567"/>
      </w:pPr>
      <w:rPr>
        <w:rFonts w:hint="default"/>
        <w:sz w:val="22"/>
        <w:szCs w:val="22"/>
      </w:rPr>
    </w:lvl>
    <w:lvl w:ilvl="1">
      <w:start w:val="1"/>
      <w:numFmt w:val="lowerLetter"/>
      <w:lvlText w:val="%2."/>
      <w:lvlJc w:val="left"/>
      <w:pPr>
        <w:ind w:left="1701" w:hanging="567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2268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35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402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9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670" w:hanging="567"/>
      </w:pPr>
      <w:rPr>
        <w:rFonts w:hint="default"/>
      </w:rPr>
    </w:lvl>
  </w:abstractNum>
  <w:abstractNum w:abstractNumId="15" w15:restartNumberingAfterBreak="0">
    <w:nsid w:val="4F564C94"/>
    <w:multiLevelType w:val="multilevel"/>
    <w:tmpl w:val="AFF28DAE"/>
    <w:lvl w:ilvl="0">
      <w:start w:val="1"/>
      <w:numFmt w:val="decimal"/>
      <w:pStyle w:val="PBParagraph"/>
      <w:lvlText w:val="%1"/>
      <w:lvlJc w:val="right"/>
      <w:pPr>
        <w:ind w:left="567" w:hanging="567"/>
      </w:pPr>
      <w:rPr>
        <w:rFonts w:hint="default"/>
        <w:sz w:val="21"/>
        <w:szCs w:val="21"/>
      </w:rPr>
    </w:lvl>
    <w:lvl w:ilvl="1">
      <w:start w:val="1"/>
      <w:numFmt w:val="lowerLetter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771E0A1E"/>
    <w:multiLevelType w:val="multilevel"/>
    <w:tmpl w:val="0B562C4E"/>
    <w:lvl w:ilvl="0">
      <w:start w:val="1"/>
      <w:numFmt w:val="upperRoman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upperLetter"/>
      <w:lvlRestart w:val="0"/>
      <w:lvlText w:val="%2."/>
      <w:lvlJc w:val="left"/>
      <w:pPr>
        <w:ind w:left="1134" w:hanging="567"/>
      </w:pPr>
      <w:rPr>
        <w:rFonts w:hint="default"/>
      </w:rPr>
    </w:lvl>
    <w:lvl w:ilvl="2">
      <w:start w:val="1"/>
      <w:numFmt w:val="decimal"/>
      <w:lvlRestart w:val="0"/>
      <w:lvlText w:val="%3."/>
      <w:lvlJc w:val="left"/>
      <w:pPr>
        <w:ind w:left="1134" w:hanging="567"/>
      </w:pPr>
      <w:rPr>
        <w:rFonts w:hint="default"/>
      </w:rPr>
    </w:lvl>
    <w:lvl w:ilvl="3">
      <w:start w:val="1"/>
      <w:numFmt w:val="lowerLetter"/>
      <w:lvlRestart w:val="0"/>
      <w:lvlText w:val="%4."/>
      <w:lvlJc w:val="left"/>
      <w:pPr>
        <w:ind w:left="1134" w:hanging="567"/>
      </w:pPr>
      <w:rPr>
        <w:rFonts w:hint="default"/>
        <w:b w:val="0"/>
        <w:i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758599993">
    <w:abstractNumId w:val="13"/>
  </w:num>
  <w:num w:numId="2" w16cid:durableId="403067139">
    <w:abstractNumId w:val="10"/>
  </w:num>
  <w:num w:numId="3" w16cid:durableId="1006519467">
    <w:abstractNumId w:val="15"/>
  </w:num>
  <w:num w:numId="4" w16cid:durableId="1342273311">
    <w:abstractNumId w:val="11"/>
  </w:num>
  <w:num w:numId="5" w16cid:durableId="515923121">
    <w:abstractNumId w:val="9"/>
  </w:num>
  <w:num w:numId="6" w16cid:durableId="872227208">
    <w:abstractNumId w:val="8"/>
  </w:num>
  <w:num w:numId="7" w16cid:durableId="1691881498">
    <w:abstractNumId w:val="7"/>
  </w:num>
  <w:num w:numId="8" w16cid:durableId="333649456">
    <w:abstractNumId w:val="6"/>
  </w:num>
  <w:num w:numId="9" w16cid:durableId="290407128">
    <w:abstractNumId w:val="5"/>
  </w:num>
  <w:num w:numId="10" w16cid:durableId="200944979">
    <w:abstractNumId w:val="4"/>
  </w:num>
  <w:num w:numId="11" w16cid:durableId="727921312">
    <w:abstractNumId w:val="3"/>
  </w:num>
  <w:num w:numId="12" w16cid:durableId="95252529">
    <w:abstractNumId w:val="2"/>
  </w:num>
  <w:num w:numId="13" w16cid:durableId="1429884059">
    <w:abstractNumId w:val="1"/>
  </w:num>
  <w:num w:numId="14" w16cid:durableId="128598478">
    <w:abstractNumId w:val="0"/>
  </w:num>
  <w:num w:numId="15" w16cid:durableId="14375604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238712763">
    <w:abstractNumId w:val="12"/>
  </w:num>
  <w:num w:numId="17" w16cid:durableId="742337539">
    <w:abstractNumId w:val="16"/>
  </w:num>
  <w:num w:numId="18" w16cid:durableId="123616754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ocumentProtection w:edit="forms" w:enforcement="1" w:cryptProviderType="rsaAES" w:cryptAlgorithmClass="hash" w:cryptAlgorithmType="typeAny" w:cryptAlgorithmSid="14" w:cryptSpinCount="100000" w:hash="adtwuh3youUpgV7nVP3eJi7d77deWxV4//0HL1IxX87y9bOPtyW2TDoUsyDsEQ83u5xfYclD632/WKwIzL355A==" w:salt="floLAWMsvcjITAfP+Ak7vw=="/>
  <w:defaultTabStop w:val="567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2B28"/>
    <w:rsid w:val="00000BD6"/>
    <w:rsid w:val="000133F5"/>
    <w:rsid w:val="00017ACB"/>
    <w:rsid w:val="000214A0"/>
    <w:rsid w:val="00030DA5"/>
    <w:rsid w:val="0003160E"/>
    <w:rsid w:val="00036D4D"/>
    <w:rsid w:val="00037583"/>
    <w:rsid w:val="00040A15"/>
    <w:rsid w:val="000458D4"/>
    <w:rsid w:val="000471C6"/>
    <w:rsid w:val="000514E3"/>
    <w:rsid w:val="00054081"/>
    <w:rsid w:val="000541A8"/>
    <w:rsid w:val="0005427A"/>
    <w:rsid w:val="00055864"/>
    <w:rsid w:val="00056C1B"/>
    <w:rsid w:val="00061039"/>
    <w:rsid w:val="000714FD"/>
    <w:rsid w:val="0008242E"/>
    <w:rsid w:val="00087940"/>
    <w:rsid w:val="0009532F"/>
    <w:rsid w:val="000A2D3A"/>
    <w:rsid w:val="000A54B8"/>
    <w:rsid w:val="000A7549"/>
    <w:rsid w:val="000B17BF"/>
    <w:rsid w:val="000B1FE4"/>
    <w:rsid w:val="000B5331"/>
    <w:rsid w:val="000B7A64"/>
    <w:rsid w:val="000C076A"/>
    <w:rsid w:val="000D6799"/>
    <w:rsid w:val="000D6C04"/>
    <w:rsid w:val="000D77AB"/>
    <w:rsid w:val="000E2DB0"/>
    <w:rsid w:val="000E3712"/>
    <w:rsid w:val="000E4380"/>
    <w:rsid w:val="000E4FC6"/>
    <w:rsid w:val="000E7C58"/>
    <w:rsid w:val="000F1DD1"/>
    <w:rsid w:val="001029A8"/>
    <w:rsid w:val="001059A0"/>
    <w:rsid w:val="00107191"/>
    <w:rsid w:val="00121872"/>
    <w:rsid w:val="00130382"/>
    <w:rsid w:val="00131378"/>
    <w:rsid w:val="00131C6D"/>
    <w:rsid w:val="001453C7"/>
    <w:rsid w:val="00146CBF"/>
    <w:rsid w:val="00160340"/>
    <w:rsid w:val="00165F89"/>
    <w:rsid w:val="001665AA"/>
    <w:rsid w:val="001678EB"/>
    <w:rsid w:val="001679D4"/>
    <w:rsid w:val="00170885"/>
    <w:rsid w:val="00181BE2"/>
    <w:rsid w:val="00182685"/>
    <w:rsid w:val="0018385A"/>
    <w:rsid w:val="00183F89"/>
    <w:rsid w:val="00184969"/>
    <w:rsid w:val="00185B8F"/>
    <w:rsid w:val="00186FDF"/>
    <w:rsid w:val="001918A9"/>
    <w:rsid w:val="001A1536"/>
    <w:rsid w:val="001A17BA"/>
    <w:rsid w:val="001A2B08"/>
    <w:rsid w:val="001A4378"/>
    <w:rsid w:val="001A63F2"/>
    <w:rsid w:val="001B00C2"/>
    <w:rsid w:val="001C0084"/>
    <w:rsid w:val="001C1A21"/>
    <w:rsid w:val="001C2F76"/>
    <w:rsid w:val="001D44B3"/>
    <w:rsid w:val="001E11ED"/>
    <w:rsid w:val="001F0287"/>
    <w:rsid w:val="001F147E"/>
    <w:rsid w:val="001F1FBD"/>
    <w:rsid w:val="001F51BC"/>
    <w:rsid w:val="00203043"/>
    <w:rsid w:val="00204C2B"/>
    <w:rsid w:val="00206833"/>
    <w:rsid w:val="002106F1"/>
    <w:rsid w:val="00212800"/>
    <w:rsid w:val="002133AA"/>
    <w:rsid w:val="00213F96"/>
    <w:rsid w:val="002202A0"/>
    <w:rsid w:val="00224D9F"/>
    <w:rsid w:val="0023033E"/>
    <w:rsid w:val="00230BD6"/>
    <w:rsid w:val="002348EF"/>
    <w:rsid w:val="0024522E"/>
    <w:rsid w:val="00245911"/>
    <w:rsid w:val="002502CA"/>
    <w:rsid w:val="00250812"/>
    <w:rsid w:val="0025115C"/>
    <w:rsid w:val="0025183B"/>
    <w:rsid w:val="00252B28"/>
    <w:rsid w:val="00262BF5"/>
    <w:rsid w:val="002845BF"/>
    <w:rsid w:val="00284F1F"/>
    <w:rsid w:val="002932EE"/>
    <w:rsid w:val="002A1050"/>
    <w:rsid w:val="002A60A1"/>
    <w:rsid w:val="002A68CC"/>
    <w:rsid w:val="002B1523"/>
    <w:rsid w:val="002B3892"/>
    <w:rsid w:val="002B5B67"/>
    <w:rsid w:val="002C4B6E"/>
    <w:rsid w:val="002C5D1E"/>
    <w:rsid w:val="002D356C"/>
    <w:rsid w:val="002D510B"/>
    <w:rsid w:val="002D7D60"/>
    <w:rsid w:val="002E01BA"/>
    <w:rsid w:val="002E5864"/>
    <w:rsid w:val="002E6EC5"/>
    <w:rsid w:val="002F0CB2"/>
    <w:rsid w:val="002F332E"/>
    <w:rsid w:val="0030496B"/>
    <w:rsid w:val="003060E2"/>
    <w:rsid w:val="00311FF4"/>
    <w:rsid w:val="00313A10"/>
    <w:rsid w:val="00330CA1"/>
    <w:rsid w:val="00335B42"/>
    <w:rsid w:val="003363BF"/>
    <w:rsid w:val="003442E8"/>
    <w:rsid w:val="00344EC9"/>
    <w:rsid w:val="00345CE1"/>
    <w:rsid w:val="003514DD"/>
    <w:rsid w:val="003525AB"/>
    <w:rsid w:val="00362DFD"/>
    <w:rsid w:val="00371AF9"/>
    <w:rsid w:val="003767D6"/>
    <w:rsid w:val="00390084"/>
    <w:rsid w:val="00391CE1"/>
    <w:rsid w:val="003923D7"/>
    <w:rsid w:val="003A2BCE"/>
    <w:rsid w:val="003A307E"/>
    <w:rsid w:val="003B1F2F"/>
    <w:rsid w:val="003D7771"/>
    <w:rsid w:val="003D7AA8"/>
    <w:rsid w:val="003E0D52"/>
    <w:rsid w:val="003E668B"/>
    <w:rsid w:val="003E70B6"/>
    <w:rsid w:val="003E7154"/>
    <w:rsid w:val="003F6014"/>
    <w:rsid w:val="00404DDF"/>
    <w:rsid w:val="00405BDC"/>
    <w:rsid w:val="00407F85"/>
    <w:rsid w:val="00410DC0"/>
    <w:rsid w:val="00413FB1"/>
    <w:rsid w:val="00415A5C"/>
    <w:rsid w:val="00415FFC"/>
    <w:rsid w:val="004210D8"/>
    <w:rsid w:val="0042203D"/>
    <w:rsid w:val="00426EBB"/>
    <w:rsid w:val="004273C4"/>
    <w:rsid w:val="00430BD2"/>
    <w:rsid w:val="0043556F"/>
    <w:rsid w:val="00437BF2"/>
    <w:rsid w:val="00437C67"/>
    <w:rsid w:val="00442B18"/>
    <w:rsid w:val="00445CD5"/>
    <w:rsid w:val="00446A0F"/>
    <w:rsid w:val="0044716D"/>
    <w:rsid w:val="00447878"/>
    <w:rsid w:val="004542BB"/>
    <w:rsid w:val="00464877"/>
    <w:rsid w:val="00470A41"/>
    <w:rsid w:val="00471847"/>
    <w:rsid w:val="004749C8"/>
    <w:rsid w:val="00480950"/>
    <w:rsid w:val="004847B6"/>
    <w:rsid w:val="00490C3D"/>
    <w:rsid w:val="00490C9A"/>
    <w:rsid w:val="00497782"/>
    <w:rsid w:val="004A3469"/>
    <w:rsid w:val="004A349D"/>
    <w:rsid w:val="004A5178"/>
    <w:rsid w:val="004E3441"/>
    <w:rsid w:val="004E57B8"/>
    <w:rsid w:val="004F3062"/>
    <w:rsid w:val="004F7947"/>
    <w:rsid w:val="00503109"/>
    <w:rsid w:val="00503FEF"/>
    <w:rsid w:val="00505B3E"/>
    <w:rsid w:val="0051184A"/>
    <w:rsid w:val="00515586"/>
    <w:rsid w:val="00515E30"/>
    <w:rsid w:val="00516CBE"/>
    <w:rsid w:val="005204ED"/>
    <w:rsid w:val="00520E44"/>
    <w:rsid w:val="00524CF5"/>
    <w:rsid w:val="00531147"/>
    <w:rsid w:val="00534BB2"/>
    <w:rsid w:val="00536BEF"/>
    <w:rsid w:val="00541B89"/>
    <w:rsid w:val="00541F1D"/>
    <w:rsid w:val="00546E0F"/>
    <w:rsid w:val="00553118"/>
    <w:rsid w:val="00556E60"/>
    <w:rsid w:val="005633FD"/>
    <w:rsid w:val="005653A8"/>
    <w:rsid w:val="00570547"/>
    <w:rsid w:val="00573A2A"/>
    <w:rsid w:val="005778B4"/>
    <w:rsid w:val="00581D46"/>
    <w:rsid w:val="0059419B"/>
    <w:rsid w:val="005A49C8"/>
    <w:rsid w:val="005C0D74"/>
    <w:rsid w:val="005C1C9F"/>
    <w:rsid w:val="005C2BE8"/>
    <w:rsid w:val="005C748B"/>
    <w:rsid w:val="005D06B4"/>
    <w:rsid w:val="005E253C"/>
    <w:rsid w:val="006047A0"/>
    <w:rsid w:val="00612185"/>
    <w:rsid w:val="00613B92"/>
    <w:rsid w:val="006142F8"/>
    <w:rsid w:val="00614CF7"/>
    <w:rsid w:val="00614CFE"/>
    <w:rsid w:val="0061738F"/>
    <w:rsid w:val="006227C7"/>
    <w:rsid w:val="00623770"/>
    <w:rsid w:val="00623C31"/>
    <w:rsid w:val="0062705F"/>
    <w:rsid w:val="006274C1"/>
    <w:rsid w:val="00632F14"/>
    <w:rsid w:val="00635349"/>
    <w:rsid w:val="006405F5"/>
    <w:rsid w:val="00653C7B"/>
    <w:rsid w:val="00661DB1"/>
    <w:rsid w:val="00667013"/>
    <w:rsid w:val="006702B6"/>
    <w:rsid w:val="006821A3"/>
    <w:rsid w:val="00683EC0"/>
    <w:rsid w:val="00685AE3"/>
    <w:rsid w:val="00692373"/>
    <w:rsid w:val="00692DD2"/>
    <w:rsid w:val="00693B34"/>
    <w:rsid w:val="006A02BA"/>
    <w:rsid w:val="006A0948"/>
    <w:rsid w:val="006B5278"/>
    <w:rsid w:val="006B55C4"/>
    <w:rsid w:val="006B6243"/>
    <w:rsid w:val="006B7EFF"/>
    <w:rsid w:val="006C0357"/>
    <w:rsid w:val="006C4189"/>
    <w:rsid w:val="006D3BE2"/>
    <w:rsid w:val="006D4CBB"/>
    <w:rsid w:val="006E1A35"/>
    <w:rsid w:val="006F07DB"/>
    <w:rsid w:val="006F137F"/>
    <w:rsid w:val="006F212F"/>
    <w:rsid w:val="00703C3E"/>
    <w:rsid w:val="007061FE"/>
    <w:rsid w:val="00710AC1"/>
    <w:rsid w:val="00714510"/>
    <w:rsid w:val="007166F1"/>
    <w:rsid w:val="007202B3"/>
    <w:rsid w:val="00722F12"/>
    <w:rsid w:val="0072420E"/>
    <w:rsid w:val="007301D0"/>
    <w:rsid w:val="00731715"/>
    <w:rsid w:val="00731C46"/>
    <w:rsid w:val="00734733"/>
    <w:rsid w:val="00740C46"/>
    <w:rsid w:val="007416AF"/>
    <w:rsid w:val="007459F8"/>
    <w:rsid w:val="00745F87"/>
    <w:rsid w:val="00754C4A"/>
    <w:rsid w:val="00763991"/>
    <w:rsid w:val="00765B45"/>
    <w:rsid w:val="00767797"/>
    <w:rsid w:val="00767B17"/>
    <w:rsid w:val="00767CCC"/>
    <w:rsid w:val="00780344"/>
    <w:rsid w:val="00782F12"/>
    <w:rsid w:val="007841A2"/>
    <w:rsid w:val="00787BBD"/>
    <w:rsid w:val="00791947"/>
    <w:rsid w:val="007937B1"/>
    <w:rsid w:val="00795C1A"/>
    <w:rsid w:val="0079664F"/>
    <w:rsid w:val="007A47FF"/>
    <w:rsid w:val="007A7872"/>
    <w:rsid w:val="007B1D59"/>
    <w:rsid w:val="007C2EC0"/>
    <w:rsid w:val="007C61BA"/>
    <w:rsid w:val="007D26BD"/>
    <w:rsid w:val="007D2A65"/>
    <w:rsid w:val="007D4DD2"/>
    <w:rsid w:val="007D5CC7"/>
    <w:rsid w:val="007D7A26"/>
    <w:rsid w:val="007E7DBB"/>
    <w:rsid w:val="007F5FEE"/>
    <w:rsid w:val="008050B5"/>
    <w:rsid w:val="0081069B"/>
    <w:rsid w:val="008138A4"/>
    <w:rsid w:val="00815D57"/>
    <w:rsid w:val="008263D9"/>
    <w:rsid w:val="00833F06"/>
    <w:rsid w:val="0083676C"/>
    <w:rsid w:val="00837B79"/>
    <w:rsid w:val="00840A28"/>
    <w:rsid w:val="00847AAE"/>
    <w:rsid w:val="0085396D"/>
    <w:rsid w:val="00853B04"/>
    <w:rsid w:val="00856FCE"/>
    <w:rsid w:val="00857C95"/>
    <w:rsid w:val="008630BB"/>
    <w:rsid w:val="00865733"/>
    <w:rsid w:val="0086693E"/>
    <w:rsid w:val="008735F6"/>
    <w:rsid w:val="008737C6"/>
    <w:rsid w:val="00891F20"/>
    <w:rsid w:val="008A1AD5"/>
    <w:rsid w:val="008A48FD"/>
    <w:rsid w:val="008A5E00"/>
    <w:rsid w:val="008B206A"/>
    <w:rsid w:val="008B2CA5"/>
    <w:rsid w:val="008B572E"/>
    <w:rsid w:val="008B5BB6"/>
    <w:rsid w:val="008B6530"/>
    <w:rsid w:val="008C6B59"/>
    <w:rsid w:val="008C7852"/>
    <w:rsid w:val="008D2925"/>
    <w:rsid w:val="008E2F57"/>
    <w:rsid w:val="008E5F9C"/>
    <w:rsid w:val="008E6580"/>
    <w:rsid w:val="008E678A"/>
    <w:rsid w:val="008F3C1C"/>
    <w:rsid w:val="008F44E7"/>
    <w:rsid w:val="008F4871"/>
    <w:rsid w:val="008F5AE0"/>
    <w:rsid w:val="008F6318"/>
    <w:rsid w:val="009074A2"/>
    <w:rsid w:val="00907EE7"/>
    <w:rsid w:val="00914AE2"/>
    <w:rsid w:val="00915DDE"/>
    <w:rsid w:val="00916925"/>
    <w:rsid w:val="00917ED8"/>
    <w:rsid w:val="009306B7"/>
    <w:rsid w:val="00932BD9"/>
    <w:rsid w:val="009435CA"/>
    <w:rsid w:val="00951417"/>
    <w:rsid w:val="009519B1"/>
    <w:rsid w:val="00951B6D"/>
    <w:rsid w:val="00956995"/>
    <w:rsid w:val="009603F6"/>
    <w:rsid w:val="00964CA5"/>
    <w:rsid w:val="00964D7B"/>
    <w:rsid w:val="009701D2"/>
    <w:rsid w:val="00970FCE"/>
    <w:rsid w:val="009728B7"/>
    <w:rsid w:val="00975418"/>
    <w:rsid w:val="00975B88"/>
    <w:rsid w:val="009801BF"/>
    <w:rsid w:val="0098504E"/>
    <w:rsid w:val="009909BA"/>
    <w:rsid w:val="00991981"/>
    <w:rsid w:val="009954C9"/>
    <w:rsid w:val="009A101C"/>
    <w:rsid w:val="009A5700"/>
    <w:rsid w:val="009B055F"/>
    <w:rsid w:val="009B5BED"/>
    <w:rsid w:val="009C0542"/>
    <w:rsid w:val="009C1FD9"/>
    <w:rsid w:val="009C5040"/>
    <w:rsid w:val="009D02B6"/>
    <w:rsid w:val="009D031E"/>
    <w:rsid w:val="009E27D2"/>
    <w:rsid w:val="009E3645"/>
    <w:rsid w:val="009E3AEF"/>
    <w:rsid w:val="009E47B0"/>
    <w:rsid w:val="009E5CED"/>
    <w:rsid w:val="009E6FD7"/>
    <w:rsid w:val="009E7112"/>
    <w:rsid w:val="009F228B"/>
    <w:rsid w:val="009F3507"/>
    <w:rsid w:val="009F3AD4"/>
    <w:rsid w:val="009F4ED1"/>
    <w:rsid w:val="00A0346D"/>
    <w:rsid w:val="00A17ADA"/>
    <w:rsid w:val="00A20160"/>
    <w:rsid w:val="00A22E6B"/>
    <w:rsid w:val="00A32CF1"/>
    <w:rsid w:val="00A33474"/>
    <w:rsid w:val="00A35915"/>
    <w:rsid w:val="00A37230"/>
    <w:rsid w:val="00A37A50"/>
    <w:rsid w:val="00A407F1"/>
    <w:rsid w:val="00A4149C"/>
    <w:rsid w:val="00A42040"/>
    <w:rsid w:val="00A44497"/>
    <w:rsid w:val="00A50DED"/>
    <w:rsid w:val="00A71264"/>
    <w:rsid w:val="00A7361E"/>
    <w:rsid w:val="00A75C69"/>
    <w:rsid w:val="00A779AC"/>
    <w:rsid w:val="00A83457"/>
    <w:rsid w:val="00AA2D19"/>
    <w:rsid w:val="00AB2329"/>
    <w:rsid w:val="00AC0219"/>
    <w:rsid w:val="00AC445F"/>
    <w:rsid w:val="00AC4FD4"/>
    <w:rsid w:val="00AD3A83"/>
    <w:rsid w:val="00AD5F42"/>
    <w:rsid w:val="00AE196A"/>
    <w:rsid w:val="00AE6998"/>
    <w:rsid w:val="00AF42F5"/>
    <w:rsid w:val="00AF4E71"/>
    <w:rsid w:val="00B0056A"/>
    <w:rsid w:val="00B0140A"/>
    <w:rsid w:val="00B022EF"/>
    <w:rsid w:val="00B0319F"/>
    <w:rsid w:val="00B05E26"/>
    <w:rsid w:val="00B10B14"/>
    <w:rsid w:val="00B12043"/>
    <w:rsid w:val="00B1459E"/>
    <w:rsid w:val="00B210AD"/>
    <w:rsid w:val="00B2174F"/>
    <w:rsid w:val="00B21AE1"/>
    <w:rsid w:val="00B220F0"/>
    <w:rsid w:val="00B31DF6"/>
    <w:rsid w:val="00B34255"/>
    <w:rsid w:val="00B3462A"/>
    <w:rsid w:val="00B36D5E"/>
    <w:rsid w:val="00B37C70"/>
    <w:rsid w:val="00B428B7"/>
    <w:rsid w:val="00B446B0"/>
    <w:rsid w:val="00B53EBB"/>
    <w:rsid w:val="00B56263"/>
    <w:rsid w:val="00B649BA"/>
    <w:rsid w:val="00B64EFE"/>
    <w:rsid w:val="00B65E01"/>
    <w:rsid w:val="00B74EFA"/>
    <w:rsid w:val="00B77D9F"/>
    <w:rsid w:val="00B8066A"/>
    <w:rsid w:val="00B8199B"/>
    <w:rsid w:val="00B85646"/>
    <w:rsid w:val="00B927D4"/>
    <w:rsid w:val="00B941D8"/>
    <w:rsid w:val="00BB1613"/>
    <w:rsid w:val="00BB201D"/>
    <w:rsid w:val="00BC4721"/>
    <w:rsid w:val="00BC5845"/>
    <w:rsid w:val="00BC58AB"/>
    <w:rsid w:val="00BD2905"/>
    <w:rsid w:val="00BD6183"/>
    <w:rsid w:val="00BD6924"/>
    <w:rsid w:val="00BD7624"/>
    <w:rsid w:val="00BD7762"/>
    <w:rsid w:val="00BE174D"/>
    <w:rsid w:val="00BE40DD"/>
    <w:rsid w:val="00BF40BF"/>
    <w:rsid w:val="00BF4A4E"/>
    <w:rsid w:val="00BF7811"/>
    <w:rsid w:val="00C06E58"/>
    <w:rsid w:val="00C0721D"/>
    <w:rsid w:val="00C114F7"/>
    <w:rsid w:val="00C13DF9"/>
    <w:rsid w:val="00C13E89"/>
    <w:rsid w:val="00C153FE"/>
    <w:rsid w:val="00C17B12"/>
    <w:rsid w:val="00C20DBB"/>
    <w:rsid w:val="00C23DD2"/>
    <w:rsid w:val="00C364F1"/>
    <w:rsid w:val="00C4618C"/>
    <w:rsid w:val="00C466B3"/>
    <w:rsid w:val="00C478B9"/>
    <w:rsid w:val="00C47EF8"/>
    <w:rsid w:val="00C55288"/>
    <w:rsid w:val="00C60308"/>
    <w:rsid w:val="00C628D1"/>
    <w:rsid w:val="00C629E7"/>
    <w:rsid w:val="00C746A8"/>
    <w:rsid w:val="00C748C8"/>
    <w:rsid w:val="00C7518C"/>
    <w:rsid w:val="00C77740"/>
    <w:rsid w:val="00C829F7"/>
    <w:rsid w:val="00C8748B"/>
    <w:rsid w:val="00C9055D"/>
    <w:rsid w:val="00CA05A6"/>
    <w:rsid w:val="00CE04F8"/>
    <w:rsid w:val="00CE3EAB"/>
    <w:rsid w:val="00CE6D57"/>
    <w:rsid w:val="00CE794A"/>
    <w:rsid w:val="00CF7379"/>
    <w:rsid w:val="00CF7BBC"/>
    <w:rsid w:val="00D016DF"/>
    <w:rsid w:val="00D03E09"/>
    <w:rsid w:val="00D04941"/>
    <w:rsid w:val="00D07AE6"/>
    <w:rsid w:val="00D14DC1"/>
    <w:rsid w:val="00D20A1C"/>
    <w:rsid w:val="00D216BF"/>
    <w:rsid w:val="00D23F84"/>
    <w:rsid w:val="00D27C9D"/>
    <w:rsid w:val="00D311ED"/>
    <w:rsid w:val="00D33DAA"/>
    <w:rsid w:val="00D36123"/>
    <w:rsid w:val="00D419AA"/>
    <w:rsid w:val="00D42A06"/>
    <w:rsid w:val="00D4759C"/>
    <w:rsid w:val="00D47792"/>
    <w:rsid w:val="00D5594D"/>
    <w:rsid w:val="00D56610"/>
    <w:rsid w:val="00D61856"/>
    <w:rsid w:val="00D64462"/>
    <w:rsid w:val="00D73A1D"/>
    <w:rsid w:val="00D74393"/>
    <w:rsid w:val="00D77506"/>
    <w:rsid w:val="00D841FE"/>
    <w:rsid w:val="00DA168E"/>
    <w:rsid w:val="00DA38CE"/>
    <w:rsid w:val="00DA687F"/>
    <w:rsid w:val="00DB533F"/>
    <w:rsid w:val="00DB7DEF"/>
    <w:rsid w:val="00DC1D72"/>
    <w:rsid w:val="00DC3DCB"/>
    <w:rsid w:val="00DC5214"/>
    <w:rsid w:val="00DC5723"/>
    <w:rsid w:val="00DF2CB1"/>
    <w:rsid w:val="00E00A35"/>
    <w:rsid w:val="00E0216E"/>
    <w:rsid w:val="00E0750B"/>
    <w:rsid w:val="00E079F6"/>
    <w:rsid w:val="00E11D07"/>
    <w:rsid w:val="00E133CC"/>
    <w:rsid w:val="00E138A2"/>
    <w:rsid w:val="00E14BC7"/>
    <w:rsid w:val="00E173D6"/>
    <w:rsid w:val="00E210A2"/>
    <w:rsid w:val="00E21F9B"/>
    <w:rsid w:val="00E231D2"/>
    <w:rsid w:val="00E23415"/>
    <w:rsid w:val="00E2518B"/>
    <w:rsid w:val="00E33DBD"/>
    <w:rsid w:val="00E42076"/>
    <w:rsid w:val="00E425A4"/>
    <w:rsid w:val="00E44BCC"/>
    <w:rsid w:val="00E47D96"/>
    <w:rsid w:val="00E55949"/>
    <w:rsid w:val="00E57A4C"/>
    <w:rsid w:val="00E63B44"/>
    <w:rsid w:val="00E65B6A"/>
    <w:rsid w:val="00E67BDB"/>
    <w:rsid w:val="00E72135"/>
    <w:rsid w:val="00E75513"/>
    <w:rsid w:val="00E77678"/>
    <w:rsid w:val="00E828D8"/>
    <w:rsid w:val="00E85653"/>
    <w:rsid w:val="00E864E3"/>
    <w:rsid w:val="00E905AA"/>
    <w:rsid w:val="00E91763"/>
    <w:rsid w:val="00E918A2"/>
    <w:rsid w:val="00E957AB"/>
    <w:rsid w:val="00E96F66"/>
    <w:rsid w:val="00EA4CE6"/>
    <w:rsid w:val="00EA7927"/>
    <w:rsid w:val="00EB2D72"/>
    <w:rsid w:val="00EB73C9"/>
    <w:rsid w:val="00EC2A1B"/>
    <w:rsid w:val="00EC38CA"/>
    <w:rsid w:val="00ED4DA2"/>
    <w:rsid w:val="00ED6432"/>
    <w:rsid w:val="00ED65D9"/>
    <w:rsid w:val="00EE4166"/>
    <w:rsid w:val="00EE74F6"/>
    <w:rsid w:val="00EF0F6F"/>
    <w:rsid w:val="00EF2A91"/>
    <w:rsid w:val="00EF780F"/>
    <w:rsid w:val="00F065E5"/>
    <w:rsid w:val="00F11423"/>
    <w:rsid w:val="00F127F2"/>
    <w:rsid w:val="00F2364A"/>
    <w:rsid w:val="00F25466"/>
    <w:rsid w:val="00F3687D"/>
    <w:rsid w:val="00F40112"/>
    <w:rsid w:val="00F45B13"/>
    <w:rsid w:val="00F471CC"/>
    <w:rsid w:val="00F51147"/>
    <w:rsid w:val="00F56371"/>
    <w:rsid w:val="00F64024"/>
    <w:rsid w:val="00F6739E"/>
    <w:rsid w:val="00F718CD"/>
    <w:rsid w:val="00F76443"/>
    <w:rsid w:val="00F767B1"/>
    <w:rsid w:val="00F77CE0"/>
    <w:rsid w:val="00F85B6A"/>
    <w:rsid w:val="00F932B8"/>
    <w:rsid w:val="00F950EC"/>
    <w:rsid w:val="00FA0E1F"/>
    <w:rsid w:val="00FA101D"/>
    <w:rsid w:val="00FA4329"/>
    <w:rsid w:val="00FA56E5"/>
    <w:rsid w:val="00FA6708"/>
    <w:rsid w:val="00FB5EAA"/>
    <w:rsid w:val="00FC280D"/>
    <w:rsid w:val="00FC6C76"/>
    <w:rsid w:val="00FE2036"/>
    <w:rsid w:val="00FE2DBF"/>
    <w:rsid w:val="00FE4855"/>
    <w:rsid w:val="00FE7F92"/>
    <w:rsid w:val="00FF0220"/>
    <w:rsid w:val="00FF30D4"/>
    <w:rsid w:val="00FF3C9C"/>
    <w:rsid w:val="00FF5EB8"/>
    <w:rsid w:val="00FF6A4E"/>
    <w:rsid w:val="6A94D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4E22F1"/>
  <w15:chartTrackingRefBased/>
  <w15:docId w15:val="{5DC95C16-0D1F-4C81-8E1A-DDA0B812A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8E6580"/>
    <w:pPr>
      <w:jc w:val="both"/>
    </w:pPr>
  </w:style>
  <w:style w:type="paragraph" w:styleId="Heading1">
    <w:name w:val="heading 1"/>
    <w:aliases w:val="PB Heading 1"/>
    <w:basedOn w:val="Normal"/>
    <w:next w:val="PBParagraph"/>
    <w:link w:val="Heading1Char"/>
    <w:uiPriority w:val="1"/>
    <w:qFormat/>
    <w:rsid w:val="008630BB"/>
    <w:pPr>
      <w:keepNext/>
      <w:keepLines/>
      <w:numPr>
        <w:numId w:val="1"/>
      </w:numPr>
      <w:spacing w:before="240" w:after="120"/>
      <w:jc w:val="left"/>
      <w:outlineLvl w:val="0"/>
    </w:pPr>
    <w:rPr>
      <w:rFonts w:asciiTheme="majorHAnsi" w:eastAsiaTheme="majorEastAsia" w:hAnsiTheme="majorHAnsi" w:cstheme="majorBidi"/>
      <w:bCs/>
      <w:color w:val="03295A" w:themeColor="accent4"/>
      <w:sz w:val="28"/>
      <w:szCs w:val="28"/>
    </w:rPr>
  </w:style>
  <w:style w:type="paragraph" w:styleId="Heading2">
    <w:name w:val="heading 2"/>
    <w:aliases w:val="PB Heading 2"/>
    <w:basedOn w:val="Heading1"/>
    <w:next w:val="PBParagraph"/>
    <w:link w:val="Heading2Char"/>
    <w:uiPriority w:val="2"/>
    <w:qFormat/>
    <w:rsid w:val="009E47B0"/>
    <w:pPr>
      <w:numPr>
        <w:ilvl w:val="1"/>
      </w:numPr>
      <w:outlineLvl w:val="1"/>
    </w:pPr>
    <w:rPr>
      <w:color w:val="024987" w:themeColor="accent3"/>
      <w:sz w:val="24"/>
      <w:szCs w:val="24"/>
    </w:rPr>
  </w:style>
  <w:style w:type="paragraph" w:styleId="Heading3">
    <w:name w:val="heading 3"/>
    <w:aliases w:val="PB Heading 3"/>
    <w:basedOn w:val="Heading2"/>
    <w:next w:val="PBParagraph"/>
    <w:link w:val="Heading3Char"/>
    <w:uiPriority w:val="3"/>
    <w:qFormat/>
    <w:rsid w:val="009E47B0"/>
    <w:pPr>
      <w:numPr>
        <w:ilvl w:val="2"/>
      </w:numPr>
      <w:outlineLvl w:val="2"/>
    </w:pPr>
    <w:rPr>
      <w:color w:val="0069B4" w:themeColor="accent2"/>
      <w:sz w:val="22"/>
      <w:szCs w:val="22"/>
    </w:rPr>
  </w:style>
  <w:style w:type="paragraph" w:styleId="Heading4">
    <w:name w:val="heading 4"/>
    <w:aliases w:val="PB Heading 4"/>
    <w:basedOn w:val="Heading3"/>
    <w:next w:val="PBParagraph"/>
    <w:link w:val="Heading4Char"/>
    <w:uiPriority w:val="4"/>
    <w:qFormat/>
    <w:rsid w:val="00E2518B"/>
    <w:pPr>
      <w:numPr>
        <w:ilvl w:val="3"/>
      </w:numPr>
      <w:outlineLvl w:val="3"/>
    </w:pPr>
    <w:rPr>
      <w:bCs w:val="0"/>
      <w:i/>
      <w:iCs/>
      <w:color w:val="0094D2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52B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252B28"/>
    <w:rPr>
      <w:color w:val="808080"/>
    </w:rPr>
  </w:style>
  <w:style w:type="paragraph" w:styleId="Title">
    <w:name w:val="Title"/>
    <w:aliases w:val="PB Title"/>
    <w:basedOn w:val="Normal"/>
    <w:next w:val="Normal"/>
    <w:link w:val="TitleChar"/>
    <w:uiPriority w:val="5"/>
    <w:qFormat/>
    <w:rsid w:val="00B1459E"/>
    <w:pPr>
      <w:spacing w:after="240" w:line="240" w:lineRule="auto"/>
      <w:contextualSpacing/>
      <w:jc w:val="center"/>
    </w:pPr>
    <w:rPr>
      <w:rFonts w:asciiTheme="majorHAnsi" w:eastAsiaTheme="majorEastAsia" w:hAnsiTheme="majorHAnsi" w:cstheme="majorBidi"/>
      <w:b/>
      <w:color w:val="03295A" w:themeColor="accent4"/>
      <w:spacing w:val="10"/>
      <w:kern w:val="28"/>
      <w:sz w:val="32"/>
      <w:szCs w:val="56"/>
    </w:rPr>
  </w:style>
  <w:style w:type="character" w:customStyle="1" w:styleId="TitleChar">
    <w:name w:val="Title Char"/>
    <w:aliases w:val="PB Title Char"/>
    <w:basedOn w:val="DefaultParagraphFont"/>
    <w:link w:val="Title"/>
    <w:uiPriority w:val="5"/>
    <w:rsid w:val="008E6580"/>
    <w:rPr>
      <w:rFonts w:asciiTheme="majorHAnsi" w:eastAsiaTheme="majorEastAsia" w:hAnsiTheme="majorHAnsi" w:cstheme="majorBidi"/>
      <w:b/>
      <w:color w:val="03295A" w:themeColor="accent4"/>
      <w:spacing w:val="10"/>
      <w:kern w:val="28"/>
      <w:sz w:val="32"/>
      <w:szCs w:val="56"/>
      <w:lang w:val="fr-FR"/>
    </w:rPr>
  </w:style>
  <w:style w:type="character" w:customStyle="1" w:styleId="Heading1Char">
    <w:name w:val="Heading 1 Char"/>
    <w:aliases w:val="PB Heading 1 Char"/>
    <w:basedOn w:val="DefaultParagraphFont"/>
    <w:link w:val="Heading1"/>
    <w:uiPriority w:val="1"/>
    <w:rsid w:val="008E6580"/>
    <w:rPr>
      <w:rFonts w:asciiTheme="majorHAnsi" w:eastAsiaTheme="majorEastAsia" w:hAnsiTheme="majorHAnsi" w:cstheme="majorBidi"/>
      <w:bCs/>
      <w:color w:val="03295A" w:themeColor="accent4"/>
      <w:sz w:val="28"/>
      <w:szCs w:val="28"/>
      <w:lang w:val="fr-FR"/>
    </w:rPr>
  </w:style>
  <w:style w:type="paragraph" w:styleId="Header">
    <w:name w:val="header"/>
    <w:basedOn w:val="Normal"/>
    <w:link w:val="HeaderChar"/>
    <w:uiPriority w:val="99"/>
    <w:unhideWhenUsed/>
    <w:rsid w:val="000375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7583"/>
    <w:rPr>
      <w:lang w:val="fr-FR"/>
    </w:rPr>
  </w:style>
  <w:style w:type="paragraph" w:styleId="Footer">
    <w:name w:val="footer"/>
    <w:basedOn w:val="Normal"/>
    <w:link w:val="FooterChar"/>
    <w:uiPriority w:val="99"/>
    <w:unhideWhenUsed/>
    <w:rsid w:val="000375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7583"/>
    <w:rPr>
      <w:lang w:val="fr-FR"/>
    </w:rPr>
  </w:style>
  <w:style w:type="character" w:styleId="Hyperlink">
    <w:name w:val="Hyperlink"/>
    <w:basedOn w:val="DefaultParagraphFont"/>
    <w:uiPriority w:val="99"/>
    <w:unhideWhenUsed/>
    <w:rsid w:val="00B2174F"/>
    <w:rPr>
      <w:color w:val="024987" w:themeColor="hyperlink"/>
      <w:u w:val="single"/>
    </w:rPr>
  </w:style>
  <w:style w:type="paragraph" w:styleId="ListParagraph">
    <w:name w:val="List Paragraph"/>
    <w:aliases w:val="PB Numbered List"/>
    <w:basedOn w:val="Normal"/>
    <w:link w:val="ListParagraphChar"/>
    <w:uiPriority w:val="6"/>
    <w:qFormat/>
    <w:rsid w:val="008E6580"/>
    <w:pPr>
      <w:numPr>
        <w:numId w:val="18"/>
      </w:numPr>
      <w:contextualSpacing/>
    </w:pPr>
  </w:style>
  <w:style w:type="paragraph" w:customStyle="1" w:styleId="PBParagraph">
    <w:name w:val="PB Paragraph"/>
    <w:basedOn w:val="ListParagraph"/>
    <w:link w:val="PBParagraphChar"/>
    <w:qFormat/>
    <w:rsid w:val="008E6580"/>
    <w:pPr>
      <w:numPr>
        <w:numId w:val="3"/>
      </w:numPr>
      <w:spacing w:after="120"/>
      <w:contextualSpacing w:val="0"/>
    </w:pPr>
  </w:style>
  <w:style w:type="character" w:customStyle="1" w:styleId="Heading2Char">
    <w:name w:val="Heading 2 Char"/>
    <w:aliases w:val="PB Heading 2 Char"/>
    <w:basedOn w:val="DefaultParagraphFont"/>
    <w:link w:val="Heading2"/>
    <w:uiPriority w:val="2"/>
    <w:rsid w:val="008E6580"/>
    <w:rPr>
      <w:rFonts w:asciiTheme="majorHAnsi" w:eastAsiaTheme="majorEastAsia" w:hAnsiTheme="majorHAnsi" w:cstheme="majorBidi"/>
      <w:bCs/>
      <w:color w:val="024987" w:themeColor="accent3"/>
      <w:sz w:val="24"/>
      <w:szCs w:val="24"/>
      <w:lang w:val="fr-FR"/>
    </w:rPr>
  </w:style>
  <w:style w:type="character" w:customStyle="1" w:styleId="ListParagraphChar">
    <w:name w:val="List Paragraph Char"/>
    <w:aliases w:val="PB Numbered List Char"/>
    <w:basedOn w:val="DefaultParagraphFont"/>
    <w:link w:val="ListParagraph"/>
    <w:uiPriority w:val="6"/>
    <w:rsid w:val="008E6580"/>
    <w:rPr>
      <w:lang w:val="fr-FR"/>
    </w:rPr>
  </w:style>
  <w:style w:type="character" w:customStyle="1" w:styleId="PBParagraphChar">
    <w:name w:val="PB Paragraph Char"/>
    <w:basedOn w:val="ListParagraphChar"/>
    <w:link w:val="PBParagraph"/>
    <w:rsid w:val="008E6580"/>
    <w:rPr>
      <w:lang w:val="fr-FR"/>
    </w:rPr>
  </w:style>
  <w:style w:type="character" w:customStyle="1" w:styleId="Heading3Char">
    <w:name w:val="Heading 3 Char"/>
    <w:aliases w:val="PB Heading 3 Char"/>
    <w:basedOn w:val="DefaultParagraphFont"/>
    <w:link w:val="Heading3"/>
    <w:uiPriority w:val="3"/>
    <w:rsid w:val="008E6580"/>
    <w:rPr>
      <w:rFonts w:asciiTheme="majorHAnsi" w:eastAsiaTheme="majorEastAsia" w:hAnsiTheme="majorHAnsi" w:cstheme="majorBidi"/>
      <w:bCs/>
      <w:color w:val="0069B4" w:themeColor="accent2"/>
      <w:lang w:val="fr-FR"/>
    </w:rPr>
  </w:style>
  <w:style w:type="paragraph" w:customStyle="1" w:styleId="PBBulletList">
    <w:name w:val="PB Bullet List"/>
    <w:basedOn w:val="ListParagraph"/>
    <w:link w:val="PBBulletListChar"/>
    <w:uiPriority w:val="6"/>
    <w:qFormat/>
    <w:rsid w:val="001C1A21"/>
    <w:pPr>
      <w:numPr>
        <w:numId w:val="4"/>
      </w:numPr>
    </w:pPr>
  </w:style>
  <w:style w:type="character" w:customStyle="1" w:styleId="Heading4Char">
    <w:name w:val="Heading 4 Char"/>
    <w:aliases w:val="PB Heading 4 Char"/>
    <w:basedOn w:val="DefaultParagraphFont"/>
    <w:link w:val="Heading4"/>
    <w:uiPriority w:val="4"/>
    <w:rsid w:val="008E6580"/>
    <w:rPr>
      <w:rFonts w:asciiTheme="majorHAnsi" w:eastAsiaTheme="majorEastAsia" w:hAnsiTheme="majorHAnsi" w:cstheme="majorBidi"/>
      <w:i/>
      <w:iCs/>
      <w:color w:val="0094D2" w:themeColor="accent1"/>
      <w:lang w:val="fr-FR"/>
    </w:rPr>
  </w:style>
  <w:style w:type="character" w:customStyle="1" w:styleId="PBBulletListChar">
    <w:name w:val="PB Bullet List Char"/>
    <w:basedOn w:val="ListParagraphChar"/>
    <w:link w:val="PBBulletList"/>
    <w:uiPriority w:val="6"/>
    <w:rsid w:val="008E6580"/>
    <w:rPr>
      <w:lang w:val="fr-FR"/>
    </w:rPr>
  </w:style>
  <w:style w:type="paragraph" w:styleId="Quote">
    <w:name w:val="Quote"/>
    <w:aliases w:val="PB Quote"/>
    <w:basedOn w:val="Normal"/>
    <w:next w:val="Normal"/>
    <w:link w:val="QuoteChar"/>
    <w:uiPriority w:val="6"/>
    <w:qFormat/>
    <w:rsid w:val="00520E44"/>
    <w:pPr>
      <w:ind w:left="1134" w:right="567"/>
    </w:pPr>
    <w:rPr>
      <w:sz w:val="21"/>
      <w:szCs w:val="21"/>
    </w:rPr>
  </w:style>
  <w:style w:type="character" w:customStyle="1" w:styleId="QuoteChar">
    <w:name w:val="Quote Char"/>
    <w:aliases w:val="PB Quote Char"/>
    <w:basedOn w:val="DefaultParagraphFont"/>
    <w:link w:val="Quote"/>
    <w:uiPriority w:val="6"/>
    <w:rsid w:val="008E6580"/>
    <w:rPr>
      <w:sz w:val="21"/>
      <w:szCs w:val="21"/>
      <w:lang w:val="fr-FR"/>
    </w:rPr>
  </w:style>
  <w:style w:type="paragraph" w:styleId="FootnoteText">
    <w:name w:val="footnote text"/>
    <w:basedOn w:val="Normal"/>
    <w:link w:val="FootnoteTextChar"/>
    <w:uiPriority w:val="99"/>
    <w:unhideWhenUsed/>
    <w:rsid w:val="000B17BF"/>
    <w:pPr>
      <w:spacing w:after="0" w:line="240" w:lineRule="auto"/>
      <w:ind w:left="567" w:hanging="567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0B17BF"/>
    <w:rPr>
      <w:sz w:val="18"/>
      <w:szCs w:val="20"/>
      <w:lang w:val="fr-FR"/>
    </w:rPr>
  </w:style>
  <w:style w:type="character" w:styleId="FootnoteReference">
    <w:name w:val="footnote reference"/>
    <w:basedOn w:val="DefaultParagraphFont"/>
    <w:uiPriority w:val="99"/>
    <w:semiHidden/>
    <w:unhideWhenUsed/>
    <w:rsid w:val="00C114F7"/>
    <w:rPr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497782"/>
    <w:pPr>
      <w:numPr>
        <w:numId w:val="0"/>
      </w:numPr>
      <w:spacing w:line="259" w:lineRule="auto"/>
      <w:jc w:val="center"/>
      <w:outlineLvl w:val="9"/>
    </w:pPr>
    <w:rPr>
      <w:rFonts w:cstheme="majorHAnsi"/>
    </w:rPr>
  </w:style>
  <w:style w:type="paragraph" w:styleId="TOC1">
    <w:name w:val="toc 1"/>
    <w:basedOn w:val="Normal"/>
    <w:next w:val="Normal"/>
    <w:autoRedefine/>
    <w:uiPriority w:val="39"/>
    <w:unhideWhenUsed/>
    <w:rsid w:val="00BF7811"/>
    <w:pPr>
      <w:tabs>
        <w:tab w:val="left" w:pos="567"/>
        <w:tab w:val="right" w:leader="dot" w:pos="9628"/>
      </w:tabs>
      <w:spacing w:after="120"/>
      <w:ind w:left="567" w:hanging="567"/>
      <w:jc w:val="left"/>
    </w:pPr>
    <w:rPr>
      <w:noProof/>
    </w:rPr>
  </w:style>
  <w:style w:type="paragraph" w:styleId="TOC2">
    <w:name w:val="toc 2"/>
    <w:basedOn w:val="Normal"/>
    <w:next w:val="Normal"/>
    <w:autoRedefine/>
    <w:uiPriority w:val="39"/>
    <w:unhideWhenUsed/>
    <w:rsid w:val="000E2DB0"/>
    <w:pPr>
      <w:tabs>
        <w:tab w:val="left" w:pos="1134"/>
        <w:tab w:val="right" w:leader="dot" w:pos="9628"/>
      </w:tabs>
      <w:spacing w:after="120"/>
      <w:ind w:left="1134" w:hanging="567"/>
      <w:jc w:val="left"/>
    </w:pPr>
    <w:rPr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0E2DB0"/>
    <w:pPr>
      <w:tabs>
        <w:tab w:val="left" w:pos="1701"/>
        <w:tab w:val="right" w:leader="dot" w:pos="9628"/>
      </w:tabs>
      <w:spacing w:after="120"/>
      <w:ind w:left="1701" w:hanging="567"/>
      <w:jc w:val="left"/>
    </w:pPr>
    <w:rPr>
      <w:noProof/>
    </w:rPr>
  </w:style>
  <w:style w:type="paragraph" w:customStyle="1" w:styleId="PBAnnexTitle">
    <w:name w:val="PB Annex Title"/>
    <w:basedOn w:val="Heading1"/>
    <w:next w:val="Normal"/>
    <w:rsid w:val="00B37C70"/>
    <w:pPr>
      <w:numPr>
        <w:numId w:val="0"/>
      </w:numPr>
      <w:ind w:left="567" w:hanging="567"/>
    </w:pPr>
  </w:style>
  <w:style w:type="paragraph" w:customStyle="1" w:styleId="PBBoxEmphasis">
    <w:name w:val="PB Box Emphasis"/>
    <w:basedOn w:val="Normal"/>
    <w:link w:val="PBBoxEmphasisChar"/>
    <w:uiPriority w:val="29"/>
    <w:unhideWhenUsed/>
    <w:rsid w:val="002845BF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DAE5D8" w:themeFill="accent5" w:themeFillTint="33"/>
      <w:ind w:left="851" w:right="849"/>
    </w:pPr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7F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PBBoxEmphasisChar">
    <w:name w:val="PB Box Emphasis Char"/>
    <w:basedOn w:val="DefaultParagraphFont"/>
    <w:link w:val="PBBoxEmphasis"/>
    <w:uiPriority w:val="29"/>
    <w:rsid w:val="008E6580"/>
    <w:rPr>
      <w:sz w:val="20"/>
      <w:szCs w:val="20"/>
      <w:shd w:val="clear" w:color="auto" w:fill="DAE5D8" w:themeFill="accent5" w:themeFillTint="33"/>
      <w:lang w:val="fr-FR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7F85"/>
    <w:rPr>
      <w:rFonts w:ascii="Segoe UI" w:hAnsi="Segoe UI" w:cs="Segoe UI"/>
      <w:sz w:val="18"/>
      <w:szCs w:val="18"/>
      <w:lang w:val="fr-FR"/>
    </w:rPr>
  </w:style>
  <w:style w:type="character" w:styleId="CommentReference">
    <w:name w:val="annotation reference"/>
    <w:basedOn w:val="DefaultParagraphFont"/>
    <w:uiPriority w:val="99"/>
    <w:semiHidden/>
    <w:unhideWhenUsed/>
    <w:rsid w:val="000B17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B17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B17BF"/>
    <w:rPr>
      <w:sz w:val="20"/>
      <w:szCs w:val="20"/>
      <w:lang w:val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17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B17BF"/>
    <w:rPr>
      <w:b/>
      <w:bCs/>
      <w:sz w:val="20"/>
      <w:szCs w:val="20"/>
      <w:lang w:val="fr-FR"/>
    </w:rPr>
  </w:style>
  <w:style w:type="character" w:styleId="UnresolvedMention">
    <w:name w:val="Unresolved Mention"/>
    <w:basedOn w:val="DefaultParagraphFont"/>
    <w:uiPriority w:val="99"/>
    <w:semiHidden/>
    <w:unhideWhenUsed/>
    <w:rsid w:val="006821A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7061FE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740C46"/>
    <w:rPr>
      <w:color w:val="53714B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4.xml"/><Relationship Id="rId7" Type="http://schemas.openxmlformats.org/officeDocument/2006/relationships/settings" Target="settings.xml"/><Relationship Id="rId12" Type="http://schemas.openxmlformats.org/officeDocument/2006/relationships/hyperlink" Target="https://assets.hcch.net/docs/dbfdb07c-f18e-4fa2-8810-cdd978f1f4de.pdf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yperlink" Target="http://www.hcch.net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secretariat@hcch.net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mailto:secretariat@hcch.net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cch.net/" TargetMode="External"/><Relationship Id="rId1" Type="http://schemas.openxmlformats.org/officeDocument/2006/relationships/hyperlink" Target="mailto:secretariat@hcch.net" TargetMode="Externa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cch.net/" TargetMode="External"/><Relationship Id="rId1" Type="http://schemas.openxmlformats.org/officeDocument/2006/relationships/hyperlink" Target="http://www.hcch.net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HCCH Colours">
  <a:themeElements>
    <a:clrScheme name="HCCH Colour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94D2"/>
      </a:accent1>
      <a:accent2>
        <a:srgbClr val="0069B4"/>
      </a:accent2>
      <a:accent3>
        <a:srgbClr val="024987"/>
      </a:accent3>
      <a:accent4>
        <a:srgbClr val="03295A"/>
      </a:accent4>
      <a:accent5>
        <a:srgbClr val="53714B"/>
      </a:accent5>
      <a:accent6>
        <a:srgbClr val="A2B93B"/>
      </a:accent6>
      <a:hlink>
        <a:srgbClr val="024987"/>
      </a:hlink>
      <a:folHlink>
        <a:srgbClr val="53714B"/>
      </a:folHlink>
    </a:clrScheme>
    <a:fontScheme name="HCCH Font_5">
      <a:majorFont>
        <a:latin typeface="Franklin Gothic Medium"/>
        <a:ea typeface=""/>
        <a:cs typeface=""/>
      </a:majorFont>
      <a:minorFont>
        <a:latin typeface="Franklin Gothic 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a1e25ee-525c-4921-b11a-e176e1782ba3">
      <UserInfo>
        <DisplayName>Florencia Castro</DisplayName>
        <AccountId>68</AccountId>
        <AccountType/>
      </UserInfo>
      <UserInfo>
        <DisplayName>Stuart Hawkins</DisplayName>
        <AccountId>13</AccountId>
        <AccountType/>
      </UserInfo>
      <UserInfo>
        <DisplayName>Philippe Lortie</DisplayName>
        <AccountId>17</AccountId>
        <AccountType/>
      </UserInfo>
      <UserInfo>
        <DisplayName>Lydie de Loof</DisplayName>
        <AccountId>60</AccountId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1266BC6EC884CBE9B9E688FD00220" ma:contentTypeVersion="14" ma:contentTypeDescription="Create a new document." ma:contentTypeScope="" ma:versionID="9d187b1bef9f9dc23cb2b65d8b216980">
  <xsd:schema xmlns:xsd="http://www.w3.org/2001/XMLSchema" xmlns:xs="http://www.w3.org/2001/XMLSchema" xmlns:p="http://schemas.microsoft.com/office/2006/metadata/properties" xmlns:ns2="fc1e8135-5ec9-4465-bdf1-09eec6f4b85b" xmlns:ns3="7a1e25ee-525c-4921-b11a-e176e1782ba3" targetNamespace="http://schemas.microsoft.com/office/2006/metadata/properties" ma:root="true" ma:fieldsID="2d44b0baae5e3af3defd5dfd192cf2cf" ns2:_="" ns3:_="">
    <xsd:import namespace="fc1e8135-5ec9-4465-bdf1-09eec6f4b85b"/>
    <xsd:import namespace="7a1e25ee-525c-4921-b11a-e176e1782ba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1e8135-5ec9-4465-bdf1-09eec6f4b8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1e25ee-525c-4921-b11a-e176e1782ba3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948EE6-E2F1-48D5-9805-EB0F2D3EA0D8}">
  <ds:schemaRefs>
    <ds:schemaRef ds:uri="http://schemas.microsoft.com/office/2006/metadata/properties"/>
    <ds:schemaRef ds:uri="http://schemas.microsoft.com/office/infopath/2007/PartnerControls"/>
    <ds:schemaRef ds:uri="7a1e25ee-525c-4921-b11a-e176e1782ba3"/>
  </ds:schemaRefs>
</ds:datastoreItem>
</file>

<file path=customXml/itemProps2.xml><?xml version="1.0" encoding="utf-8"?>
<ds:datastoreItem xmlns:ds="http://schemas.openxmlformats.org/officeDocument/2006/customXml" ds:itemID="{9D285CEE-6CDA-4410-B045-152ECB046D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1e8135-5ec9-4465-bdf1-09eec6f4b85b"/>
    <ds:schemaRef ds:uri="7a1e25ee-525c-4921-b11a-e176e1782ba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BC4860B-A306-4B5F-B6A2-B2C759F697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EC989E-B649-44DE-9E04-DEE60A6C9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2088</Words>
  <Characters>11485</Characters>
  <Application>Microsoft Office Word</Application>
  <DocSecurity>0</DocSecurity>
  <Lines>95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2007 Child Support Convention and Maintenance Protocol: Questionnaire in preparation of the Experts’ Group meeting of 13 to 15 February 2023 on international transfers of maintenance funds</vt:lpstr>
    </vt:vector>
  </TitlesOfParts>
  <Company/>
  <LinksUpToDate>false</LinksUpToDate>
  <CharactersWithSpaces>13546</CharactersWithSpaces>
  <SharedDoc>false</SharedDoc>
  <HLinks>
    <vt:vector size="42" baseType="variant">
      <vt:variant>
        <vt:i4>4456513</vt:i4>
      </vt:variant>
      <vt:variant>
        <vt:i4>12</vt:i4>
      </vt:variant>
      <vt:variant>
        <vt:i4>0</vt:i4>
      </vt:variant>
      <vt:variant>
        <vt:i4>5</vt:i4>
      </vt:variant>
      <vt:variant>
        <vt:lpwstr>http://www.hcch.net/</vt:lpwstr>
      </vt:variant>
      <vt:variant>
        <vt:lpwstr/>
      </vt:variant>
      <vt:variant>
        <vt:i4>2818079</vt:i4>
      </vt:variant>
      <vt:variant>
        <vt:i4>9</vt:i4>
      </vt:variant>
      <vt:variant>
        <vt:i4>0</vt:i4>
      </vt:variant>
      <vt:variant>
        <vt:i4>5</vt:i4>
      </vt:variant>
      <vt:variant>
        <vt:lpwstr>mailto:secretariat@hcch.net</vt:lpwstr>
      </vt:variant>
      <vt:variant>
        <vt:lpwstr/>
      </vt:variant>
      <vt:variant>
        <vt:i4>1245261</vt:i4>
      </vt:variant>
      <vt:variant>
        <vt:i4>6</vt:i4>
      </vt:variant>
      <vt:variant>
        <vt:i4>0</vt:i4>
      </vt:variant>
      <vt:variant>
        <vt:i4>5</vt:i4>
      </vt:variant>
      <vt:variant>
        <vt:lpwstr>https://assets.hcch.net/docs/10ec221a-4a8a-4792-88e4-42e226228da8.pdf</vt:lpwstr>
      </vt:variant>
      <vt:variant>
        <vt:lpwstr/>
      </vt:variant>
      <vt:variant>
        <vt:i4>1703957</vt:i4>
      </vt:variant>
      <vt:variant>
        <vt:i4>3</vt:i4>
      </vt:variant>
      <vt:variant>
        <vt:i4>0</vt:i4>
      </vt:variant>
      <vt:variant>
        <vt:i4>5</vt:i4>
      </vt:variant>
      <vt:variant>
        <vt:lpwstr>https://assets.hcch.net/docs/b2ea41a3-833f-417d-b0ca-e65ef1173867.pdf</vt:lpwstr>
      </vt:variant>
      <vt:variant>
        <vt:lpwstr/>
      </vt:variant>
      <vt:variant>
        <vt:i4>2818079</vt:i4>
      </vt:variant>
      <vt:variant>
        <vt:i4>0</vt:i4>
      </vt:variant>
      <vt:variant>
        <vt:i4>0</vt:i4>
      </vt:variant>
      <vt:variant>
        <vt:i4>5</vt:i4>
      </vt:variant>
      <vt:variant>
        <vt:lpwstr>mailto:secretariat@hcch.net</vt:lpwstr>
      </vt:variant>
      <vt:variant>
        <vt:lpwstr/>
      </vt:variant>
      <vt:variant>
        <vt:i4>4456513</vt:i4>
      </vt:variant>
      <vt:variant>
        <vt:i4>3</vt:i4>
      </vt:variant>
      <vt:variant>
        <vt:i4>0</vt:i4>
      </vt:variant>
      <vt:variant>
        <vt:i4>5</vt:i4>
      </vt:variant>
      <vt:variant>
        <vt:lpwstr>http://www.hcch.net/</vt:lpwstr>
      </vt:variant>
      <vt:variant>
        <vt:lpwstr/>
      </vt:variant>
      <vt:variant>
        <vt:i4>2818079</vt:i4>
      </vt:variant>
      <vt:variant>
        <vt:i4>0</vt:i4>
      </vt:variant>
      <vt:variant>
        <vt:i4>0</vt:i4>
      </vt:variant>
      <vt:variant>
        <vt:i4>5</vt:i4>
      </vt:variant>
      <vt:variant>
        <vt:lpwstr>mailto:secretariat@hcch.net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2007 Child Support Convention and Maintenance Protocol: Questionnaire in preparation of the Experts’ Group meeting of 13 to 15 February 2023 on international transfers of maintenance funds</dc:title>
  <dc:subject/>
  <dc:creator>Nicole Sims</dc:creator>
  <cp:keywords/>
  <dc:description/>
  <cp:lastModifiedBy>Stuart Hawkins</cp:lastModifiedBy>
  <cp:revision>4</cp:revision>
  <cp:lastPrinted>2020-06-22T23:58:00Z</cp:lastPrinted>
  <dcterms:created xsi:type="dcterms:W3CDTF">2024-01-31T08:58:00Z</dcterms:created>
  <dcterms:modified xsi:type="dcterms:W3CDTF">2024-02-07T09:14:00Z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0x01010000E1266BC6EC884CBE9B9E688FD00220</vt:lpwstr>
  </property>
</Properties>
</file>